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val="0"/>
          <w:bCs w:val="0"/>
          <w:color w:val="000000"/>
          <w:kern w:val="2"/>
          <w:sz w:val="44"/>
          <w:szCs w:val="44"/>
          <w:lang w:eastAsia="zh-CN"/>
        </w:rPr>
      </w:pPr>
      <w:bookmarkStart w:id="0" w:name="X9d940ad8a06e49f6a41dfe6225786ae3214173a"/>
    </w:p>
    <w:p>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val="0"/>
          <w:bCs w:val="0"/>
          <w:color w:val="000000"/>
          <w:kern w:val="2"/>
          <w:sz w:val="31"/>
          <w:szCs w:val="31"/>
          <w:lang w:eastAsia="zh-CN"/>
        </w:rPr>
      </w:pPr>
      <w:r>
        <w:rPr>
          <w:rFonts w:hint="eastAsia" w:ascii="方正小标宋简体" w:hAnsi="方正小标宋简体" w:eastAsia="方正小标宋简体" w:cs="方正小标宋简体"/>
          <w:b w:val="0"/>
          <w:bCs w:val="0"/>
          <w:color w:val="000000"/>
          <w:kern w:val="2"/>
          <w:sz w:val="44"/>
          <w:szCs w:val="44"/>
          <w:lang w:eastAsia="zh-CN"/>
        </w:rPr>
        <w:t>安徽省财政厅 安徽省住房和城乡建设厅 关</w:t>
      </w:r>
      <w:r>
        <w:rPr>
          <w:rFonts w:hint="eastAsia" w:ascii="方正小标宋简体" w:hAnsi="方正小标宋简体" w:eastAsia="方正小标宋简体" w:cs="方正小标宋简体"/>
          <w:b w:val="0"/>
          <w:bCs w:val="0"/>
          <w:color w:val="000000"/>
          <w:kern w:val="2"/>
          <w:sz w:val="43"/>
          <w:szCs w:val="43"/>
          <w:lang w:eastAsia="zh-CN"/>
        </w:rPr>
        <w:t>于下达2025年城市更新专项资金（第一批）的通知</w:t>
      </w:r>
    </w:p>
    <w:p>
      <w:pPr>
        <w:widowControl w:val="0"/>
        <w:spacing w:after="0"/>
        <w:jc w:val="both"/>
        <w:rPr>
          <w:rFonts w:ascii="仿宋_GB2312" w:hAnsi="仿宋_GB2312" w:eastAsia="仿宋_GB2312" w:cs="仿宋_GB2312"/>
          <w:b w:val="0"/>
          <w:bCs w:val="0"/>
          <w:color w:val="000000"/>
          <w:kern w:val="2"/>
          <w:sz w:val="31"/>
          <w:szCs w:val="31"/>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ascii="仿宋_GB2312" w:hAnsi="仿宋_GB2312" w:eastAsia="仿宋_GB2312" w:cs="仿宋_GB2312"/>
          <w:b w:val="0"/>
          <w:bCs w:val="0"/>
          <w:color w:val="000000"/>
          <w:kern w:val="2"/>
          <w:sz w:val="31"/>
          <w:szCs w:val="31"/>
          <w:lang w:eastAsia="zh-CN"/>
        </w:rPr>
      </w:pPr>
      <w:r>
        <w:rPr>
          <w:rFonts w:ascii="仿宋_GB2312" w:hAnsi="仿宋_GB2312" w:eastAsia="仿宋_GB2312" w:cs="仿宋_GB2312"/>
          <w:b w:val="0"/>
          <w:bCs w:val="0"/>
          <w:color w:val="000000"/>
          <w:kern w:val="2"/>
          <w:sz w:val="31"/>
          <w:szCs w:val="31"/>
          <w:lang w:eastAsia="zh-CN"/>
        </w:rPr>
        <w:t>有关市、县财政局、住房城乡建设局：</w:t>
      </w:r>
    </w:p>
    <w:p>
      <w:pPr>
        <w:keepNext w:val="0"/>
        <w:keepLines w:val="0"/>
        <w:pageBreakBefore w:val="0"/>
        <w:widowControl w:val="0"/>
        <w:kinsoku/>
        <w:wordWrap/>
        <w:overflowPunct/>
        <w:topLinePunct w:val="0"/>
        <w:autoSpaceDE/>
        <w:autoSpaceDN/>
        <w:bidi w:val="0"/>
        <w:adjustRightInd/>
        <w:snapToGrid/>
        <w:spacing w:after="0" w:line="560" w:lineRule="exact"/>
        <w:ind w:firstLine="620" w:firstLineChars="200"/>
        <w:jc w:val="both"/>
        <w:textAlignment w:val="auto"/>
        <w:rPr>
          <w:rFonts w:ascii="仿宋_GB2312" w:hAnsi="仿宋_GB2312" w:eastAsia="仿宋_GB2312" w:cs="仿宋_GB2312"/>
          <w:b w:val="0"/>
          <w:bCs w:val="0"/>
          <w:color w:val="000000"/>
          <w:kern w:val="2"/>
          <w:sz w:val="31"/>
          <w:szCs w:val="31"/>
          <w:lang w:eastAsia="zh-CN"/>
        </w:rPr>
      </w:pPr>
      <w:r>
        <w:rPr>
          <w:rFonts w:ascii="仿宋_GB2312" w:hAnsi="仿宋_GB2312" w:eastAsia="仿宋_GB2312" w:cs="仿宋_GB2312"/>
          <w:b w:val="0"/>
          <w:bCs w:val="0"/>
          <w:color w:val="000000"/>
          <w:kern w:val="2"/>
          <w:sz w:val="31"/>
          <w:szCs w:val="31"/>
          <w:lang w:eastAsia="zh-CN"/>
        </w:rPr>
        <w:t>根据</w:t>
      </w:r>
      <w:r>
        <w:rPr>
          <w:rFonts w:ascii="TimesNewRomanPSMT" w:hAnsi="TimesNewRomanPSMT" w:eastAsia="TimesNewRomanPSMT" w:cs="TimesNewRomanPSMT"/>
          <w:b w:val="0"/>
          <w:bCs w:val="0"/>
          <w:color w:val="000000"/>
          <w:kern w:val="2"/>
          <w:sz w:val="31"/>
          <w:szCs w:val="31"/>
          <w:lang w:eastAsia="zh-CN"/>
        </w:rPr>
        <w:t>2025</w:t>
      </w:r>
      <w:r>
        <w:rPr>
          <w:rFonts w:ascii="仿宋_GB2312" w:hAnsi="仿宋_GB2312" w:eastAsia="仿宋_GB2312" w:cs="仿宋_GB2312"/>
          <w:b w:val="0"/>
          <w:bCs w:val="0"/>
          <w:color w:val="000000"/>
          <w:kern w:val="2"/>
          <w:sz w:val="31"/>
          <w:szCs w:val="31"/>
          <w:lang w:eastAsia="zh-CN"/>
        </w:rPr>
        <w:t>年城市更新专项资金预算安排情况，现下达你市、县</w:t>
      </w:r>
      <w:r>
        <w:rPr>
          <w:rFonts w:hint="default" w:ascii="TimesNewRomanPSMT" w:hAnsi="TimesNewRomanPSMT" w:eastAsia="TimesNewRomanPSMT" w:cs="TimesNewRomanPSMT"/>
          <w:b w:val="0"/>
          <w:bCs w:val="0"/>
          <w:color w:val="000000"/>
          <w:kern w:val="2"/>
          <w:sz w:val="31"/>
          <w:szCs w:val="31"/>
          <w:lang w:eastAsia="zh-CN"/>
        </w:rPr>
        <w:t>2025</w:t>
      </w:r>
      <w:r>
        <w:rPr>
          <w:rFonts w:ascii="仿宋_GB2312" w:hAnsi="仿宋_GB2312" w:eastAsia="仿宋_GB2312" w:cs="仿宋_GB2312"/>
          <w:b w:val="0"/>
          <w:bCs w:val="0"/>
          <w:color w:val="000000"/>
          <w:kern w:val="2"/>
          <w:sz w:val="31"/>
          <w:szCs w:val="31"/>
          <w:lang w:eastAsia="zh-CN"/>
        </w:rPr>
        <w:t>年省级第一批城市更新专项资金（具体金额见附件），项 目代码：</w:t>
      </w:r>
      <w:r>
        <w:rPr>
          <w:rFonts w:hint="default" w:ascii="TimesNewRomanPSMT" w:hAnsi="TimesNewRomanPSMT" w:eastAsia="TimesNewRomanPSMT" w:cs="TimesNewRomanPSMT"/>
          <w:b w:val="0"/>
          <w:bCs w:val="0"/>
          <w:color w:val="000000"/>
          <w:kern w:val="2"/>
          <w:sz w:val="31"/>
          <w:szCs w:val="31"/>
          <w:lang w:eastAsia="zh-CN"/>
        </w:rPr>
        <w:t>340000251414000000013</w:t>
      </w:r>
      <w:r>
        <w:rPr>
          <w:rFonts w:ascii="仿宋_GB2312" w:hAnsi="仿宋_GB2312" w:eastAsia="仿宋_GB2312" w:cs="仿宋_GB2312"/>
          <w:b w:val="0"/>
          <w:bCs w:val="0"/>
          <w:color w:val="000000"/>
          <w:kern w:val="2"/>
          <w:sz w:val="31"/>
          <w:szCs w:val="31"/>
          <w:lang w:eastAsia="zh-CN"/>
        </w:rPr>
        <w:t>，支出功能分类科</w:t>
      </w:r>
      <w:r>
        <w:rPr>
          <w:rFonts w:hint="default" w:ascii="Times New Roman" w:hAnsi="Times New Roman" w:eastAsia="仿宋_GB2312" w:cs="Times New Roman"/>
          <w:b w:val="0"/>
          <w:bCs w:val="0"/>
          <w:color w:val="000000"/>
          <w:kern w:val="2"/>
          <w:sz w:val="32"/>
          <w:szCs w:val="32"/>
          <w:lang w:eastAsia="zh-CN"/>
        </w:rPr>
        <w:t>目：</w:t>
      </w:r>
      <w:r>
        <w:rPr>
          <w:rFonts w:hint="default" w:ascii="Times New Roman" w:hAnsi="Times New Roman" w:eastAsia="TimesNewRomanPSMT" w:cs="Times New Roman"/>
          <w:b w:val="0"/>
          <w:bCs w:val="0"/>
          <w:color w:val="000000"/>
          <w:kern w:val="2"/>
          <w:sz w:val="32"/>
          <w:szCs w:val="32"/>
          <w:lang w:eastAsia="zh-CN"/>
        </w:rPr>
        <w:t xml:space="preserve">2300312 </w:t>
      </w:r>
      <w:r>
        <w:rPr>
          <w:rFonts w:hint="default" w:ascii="Times New Roman" w:hAnsi="Times New Roman" w:eastAsia="仿宋_GB2312" w:cs="Times New Roman"/>
          <w:b w:val="0"/>
          <w:bCs w:val="0"/>
          <w:color w:val="000000"/>
          <w:kern w:val="2"/>
          <w:sz w:val="32"/>
          <w:szCs w:val="32"/>
          <w:lang w:eastAsia="zh-CN"/>
        </w:rPr>
        <w:t>城乡社区。请按照财政财务管理有关规定，加快</w:t>
      </w:r>
      <w:r>
        <w:rPr>
          <w:rFonts w:ascii="仿宋_GB2312" w:hAnsi="仿宋_GB2312" w:eastAsia="仿宋_GB2312" w:cs="仿宋_GB2312"/>
          <w:b w:val="0"/>
          <w:bCs w:val="0"/>
          <w:color w:val="000000"/>
          <w:kern w:val="2"/>
          <w:sz w:val="31"/>
          <w:szCs w:val="31"/>
          <w:lang w:eastAsia="zh-CN"/>
        </w:rPr>
        <w:t>资金拨付进度，加强资金监管，做好绩效运行监控和绩效评价，严禁截留、挤占和挪用，切实提高资金使用效益。</w:t>
      </w:r>
    </w:p>
    <w:p>
      <w:pPr>
        <w:keepNext w:val="0"/>
        <w:keepLines w:val="0"/>
        <w:pageBreakBefore w:val="0"/>
        <w:widowControl w:val="0"/>
        <w:kinsoku/>
        <w:wordWrap/>
        <w:overflowPunct/>
        <w:topLinePunct w:val="0"/>
        <w:autoSpaceDE/>
        <w:autoSpaceDN/>
        <w:bidi w:val="0"/>
        <w:adjustRightInd/>
        <w:snapToGrid/>
        <w:spacing w:after="0" w:line="560" w:lineRule="exact"/>
        <w:ind w:firstLine="620" w:firstLineChars="200"/>
        <w:jc w:val="both"/>
        <w:textAlignment w:val="auto"/>
        <w:rPr>
          <w:rFonts w:hint="default" w:ascii="Times New Roman" w:hAnsi="Times New Roman" w:eastAsia="仿宋_GB2312" w:cs="Times New Roman"/>
          <w:b w:val="0"/>
          <w:bCs w:val="0"/>
          <w:color w:val="000000"/>
          <w:kern w:val="2"/>
          <w:sz w:val="31"/>
          <w:szCs w:val="31"/>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20" w:firstLineChars="200"/>
        <w:jc w:val="both"/>
        <w:textAlignment w:val="auto"/>
        <w:rPr>
          <w:rFonts w:ascii="仿宋_GB2312" w:hAnsi="仿宋_GB2312" w:eastAsia="仿宋_GB2312" w:cs="仿宋_GB2312"/>
          <w:b w:val="0"/>
          <w:bCs w:val="0"/>
          <w:color w:val="000000"/>
          <w:kern w:val="2"/>
          <w:sz w:val="31"/>
          <w:szCs w:val="31"/>
          <w:lang w:eastAsia="zh-CN"/>
        </w:rPr>
      </w:pPr>
      <w:r>
        <w:rPr>
          <w:rFonts w:ascii="仿宋_GB2312" w:hAnsi="仿宋_GB2312" w:eastAsia="仿宋_GB2312" w:cs="仿宋_GB2312"/>
          <w:b w:val="0"/>
          <w:bCs w:val="0"/>
          <w:color w:val="000000"/>
          <w:kern w:val="2"/>
          <w:sz w:val="31"/>
          <w:szCs w:val="31"/>
          <w:lang w:eastAsia="zh-CN"/>
        </w:rPr>
        <w:t>附件：</w:t>
      </w:r>
      <w:r>
        <w:rPr>
          <w:rFonts w:ascii="TimesNewRomanPSMT" w:hAnsi="TimesNewRomanPSMT" w:eastAsia="TimesNewRomanPSMT" w:cs="TimesNewRomanPSMT"/>
          <w:b w:val="0"/>
          <w:bCs w:val="0"/>
          <w:color w:val="000000"/>
          <w:kern w:val="2"/>
          <w:sz w:val="31"/>
          <w:szCs w:val="31"/>
          <w:lang w:eastAsia="zh-CN"/>
        </w:rPr>
        <w:t>1.“</w:t>
      </w:r>
      <w:r>
        <w:rPr>
          <w:rFonts w:ascii="仿宋_GB2312" w:hAnsi="仿宋_GB2312" w:eastAsia="仿宋_GB2312" w:cs="仿宋_GB2312"/>
          <w:b w:val="0"/>
          <w:bCs w:val="0"/>
          <w:color w:val="000000"/>
          <w:kern w:val="2"/>
          <w:sz w:val="31"/>
          <w:szCs w:val="31"/>
          <w:lang w:eastAsia="zh-CN"/>
        </w:rPr>
        <w:t>城品活力贷</w:t>
      </w:r>
      <w:r>
        <w:rPr>
          <w:rFonts w:hint="default" w:ascii="TimesNewRomanPSMT" w:hAnsi="TimesNewRomanPSMT" w:eastAsia="TimesNewRomanPSMT" w:cs="TimesNewRomanPSMT"/>
          <w:b w:val="0"/>
          <w:bCs w:val="0"/>
          <w:color w:val="000000"/>
          <w:kern w:val="2"/>
          <w:sz w:val="31"/>
          <w:szCs w:val="31"/>
          <w:lang w:eastAsia="zh-CN"/>
        </w:rPr>
        <w:t>”</w:t>
      </w:r>
      <w:r>
        <w:rPr>
          <w:rFonts w:ascii="仿宋_GB2312" w:hAnsi="仿宋_GB2312" w:eastAsia="仿宋_GB2312" w:cs="仿宋_GB2312"/>
          <w:b w:val="0"/>
          <w:bCs w:val="0"/>
          <w:color w:val="000000"/>
          <w:kern w:val="2"/>
          <w:sz w:val="31"/>
          <w:szCs w:val="31"/>
          <w:lang w:eastAsia="zh-CN"/>
        </w:rPr>
        <w:t>贴息资金分配表</w:t>
      </w:r>
    </w:p>
    <w:p>
      <w:pPr>
        <w:keepNext w:val="0"/>
        <w:keepLines w:val="0"/>
        <w:pageBreakBefore w:val="0"/>
        <w:widowControl w:val="0"/>
        <w:kinsoku/>
        <w:wordWrap/>
        <w:overflowPunct/>
        <w:topLinePunct w:val="0"/>
        <w:autoSpaceDE/>
        <w:autoSpaceDN/>
        <w:bidi w:val="0"/>
        <w:adjustRightInd/>
        <w:snapToGrid/>
        <w:spacing w:after="0" w:line="560" w:lineRule="exact"/>
        <w:ind w:firstLine="1550" w:firstLineChars="500"/>
        <w:jc w:val="both"/>
        <w:textAlignment w:val="auto"/>
        <w:rPr>
          <w:rFonts w:ascii="仿宋_GB2312" w:hAnsi="仿宋_GB2312" w:eastAsia="仿宋_GB2312" w:cs="仿宋_GB2312"/>
          <w:b w:val="0"/>
          <w:bCs w:val="0"/>
          <w:color w:val="000000"/>
          <w:kern w:val="2"/>
          <w:sz w:val="31"/>
          <w:szCs w:val="31"/>
          <w:lang w:eastAsia="zh-CN"/>
        </w:rPr>
      </w:pPr>
      <w:r>
        <w:rPr>
          <w:rFonts w:hint="default" w:ascii="TimesNewRomanPSMT" w:hAnsi="TimesNewRomanPSMT" w:eastAsia="TimesNewRomanPSMT" w:cs="TimesNewRomanPSMT"/>
          <w:b w:val="0"/>
          <w:bCs w:val="0"/>
          <w:color w:val="000000"/>
          <w:kern w:val="2"/>
          <w:sz w:val="31"/>
          <w:szCs w:val="31"/>
          <w:lang w:eastAsia="zh-CN"/>
        </w:rPr>
        <w:t>2.</w:t>
      </w:r>
      <w:r>
        <w:rPr>
          <w:rFonts w:ascii="仿宋_GB2312" w:hAnsi="仿宋_GB2312" w:eastAsia="仿宋_GB2312" w:cs="仿宋_GB2312"/>
          <w:b w:val="0"/>
          <w:bCs w:val="0"/>
          <w:color w:val="000000"/>
          <w:kern w:val="2"/>
          <w:sz w:val="31"/>
          <w:szCs w:val="31"/>
          <w:lang w:eastAsia="zh-CN"/>
        </w:rPr>
        <w:t>城镇老旧小区改造补助资金分配表</w:t>
      </w:r>
    </w:p>
    <w:p>
      <w:pPr>
        <w:keepNext w:val="0"/>
        <w:keepLines w:val="0"/>
        <w:pageBreakBefore w:val="0"/>
        <w:widowControl w:val="0"/>
        <w:kinsoku/>
        <w:wordWrap/>
        <w:overflowPunct/>
        <w:topLinePunct w:val="0"/>
        <w:autoSpaceDE/>
        <w:autoSpaceDN/>
        <w:bidi w:val="0"/>
        <w:adjustRightInd/>
        <w:snapToGrid/>
        <w:spacing w:after="0" w:line="560" w:lineRule="exact"/>
        <w:ind w:firstLine="1550" w:firstLineChars="500"/>
        <w:jc w:val="both"/>
        <w:textAlignment w:val="auto"/>
        <w:rPr>
          <w:rFonts w:ascii="仿宋_GB2312" w:hAnsi="仿宋_GB2312" w:eastAsia="仿宋_GB2312" w:cs="仿宋_GB2312"/>
          <w:b w:val="0"/>
          <w:bCs w:val="0"/>
          <w:color w:val="000000"/>
          <w:kern w:val="2"/>
          <w:sz w:val="31"/>
          <w:szCs w:val="31"/>
          <w:lang w:eastAsia="zh-CN"/>
        </w:rPr>
      </w:pPr>
      <w:r>
        <w:rPr>
          <w:rFonts w:hint="default" w:ascii="TimesNewRomanPSMT" w:hAnsi="TimesNewRomanPSMT" w:eastAsia="TimesNewRomanPSMT" w:cs="TimesNewRomanPSMT"/>
          <w:b w:val="0"/>
          <w:bCs w:val="0"/>
          <w:color w:val="000000"/>
          <w:kern w:val="2"/>
          <w:sz w:val="31"/>
          <w:szCs w:val="31"/>
          <w:lang w:eastAsia="zh-CN"/>
        </w:rPr>
        <w:t>3.</w:t>
      </w:r>
      <w:r>
        <w:rPr>
          <w:rFonts w:ascii="仿宋_GB2312" w:hAnsi="仿宋_GB2312" w:eastAsia="仿宋_GB2312" w:cs="仿宋_GB2312"/>
          <w:b w:val="0"/>
          <w:bCs w:val="0"/>
          <w:color w:val="000000"/>
          <w:kern w:val="2"/>
          <w:sz w:val="31"/>
          <w:szCs w:val="31"/>
          <w:lang w:eastAsia="zh-CN"/>
        </w:rPr>
        <w:t>城市危旧房改造补助资金分配表</w:t>
      </w:r>
    </w:p>
    <w:p>
      <w:pPr>
        <w:keepNext w:val="0"/>
        <w:keepLines w:val="0"/>
        <w:pageBreakBefore w:val="0"/>
        <w:widowControl w:val="0"/>
        <w:kinsoku/>
        <w:wordWrap/>
        <w:overflowPunct/>
        <w:topLinePunct w:val="0"/>
        <w:autoSpaceDE/>
        <w:autoSpaceDN/>
        <w:bidi w:val="0"/>
        <w:adjustRightInd/>
        <w:snapToGrid/>
        <w:spacing w:after="0" w:line="560" w:lineRule="exact"/>
        <w:ind w:firstLine="1550" w:firstLineChars="500"/>
        <w:jc w:val="both"/>
        <w:textAlignment w:val="auto"/>
        <w:rPr>
          <w:rFonts w:ascii="仿宋_GB2312" w:hAnsi="仿宋_GB2312" w:eastAsia="仿宋_GB2312" w:cs="仿宋_GB2312"/>
          <w:b w:val="0"/>
          <w:bCs w:val="0"/>
          <w:color w:val="000000"/>
          <w:kern w:val="2"/>
          <w:sz w:val="31"/>
          <w:szCs w:val="31"/>
          <w:lang w:eastAsia="zh-CN"/>
        </w:rPr>
      </w:pPr>
      <w:r>
        <w:rPr>
          <w:rFonts w:hint="default" w:ascii="TimesNewRomanPSMT" w:hAnsi="TimesNewRomanPSMT" w:eastAsia="TimesNewRomanPSMT" w:cs="TimesNewRomanPSMT"/>
          <w:b w:val="0"/>
          <w:bCs w:val="0"/>
          <w:color w:val="000000"/>
          <w:kern w:val="2"/>
          <w:sz w:val="31"/>
          <w:szCs w:val="31"/>
          <w:lang w:eastAsia="zh-CN"/>
        </w:rPr>
        <w:t>4.“</w:t>
      </w:r>
      <w:r>
        <w:rPr>
          <w:rFonts w:ascii="仿宋_GB2312" w:hAnsi="仿宋_GB2312" w:eastAsia="仿宋_GB2312" w:cs="仿宋_GB2312"/>
          <w:b w:val="0"/>
          <w:bCs w:val="0"/>
          <w:color w:val="000000"/>
          <w:kern w:val="2"/>
          <w:sz w:val="31"/>
          <w:szCs w:val="31"/>
          <w:lang w:eastAsia="zh-CN"/>
        </w:rPr>
        <w:t>城品活力贷</w:t>
      </w:r>
      <w:r>
        <w:rPr>
          <w:rFonts w:hint="default" w:ascii="TimesNewRomanPSMT" w:hAnsi="TimesNewRomanPSMT" w:eastAsia="TimesNewRomanPSMT" w:cs="TimesNewRomanPSMT"/>
          <w:b w:val="0"/>
          <w:bCs w:val="0"/>
          <w:color w:val="000000"/>
          <w:kern w:val="2"/>
          <w:sz w:val="31"/>
          <w:szCs w:val="31"/>
          <w:lang w:eastAsia="zh-CN"/>
        </w:rPr>
        <w:t>”</w:t>
      </w:r>
      <w:r>
        <w:rPr>
          <w:rFonts w:ascii="仿宋_GB2312" w:hAnsi="仿宋_GB2312" w:eastAsia="仿宋_GB2312" w:cs="仿宋_GB2312"/>
          <w:b w:val="0"/>
          <w:bCs w:val="0"/>
          <w:color w:val="000000"/>
          <w:kern w:val="2"/>
          <w:sz w:val="31"/>
          <w:szCs w:val="31"/>
          <w:lang w:eastAsia="zh-CN"/>
        </w:rPr>
        <w:t>贴息资金绩效目标表</w:t>
      </w:r>
    </w:p>
    <w:p>
      <w:pPr>
        <w:keepNext w:val="0"/>
        <w:keepLines w:val="0"/>
        <w:pageBreakBefore w:val="0"/>
        <w:widowControl w:val="0"/>
        <w:kinsoku/>
        <w:wordWrap/>
        <w:overflowPunct/>
        <w:topLinePunct w:val="0"/>
        <w:autoSpaceDE/>
        <w:autoSpaceDN/>
        <w:bidi w:val="0"/>
        <w:adjustRightInd/>
        <w:snapToGrid/>
        <w:spacing w:after="0" w:line="560" w:lineRule="exact"/>
        <w:ind w:firstLine="1550" w:firstLineChars="500"/>
        <w:jc w:val="both"/>
        <w:textAlignment w:val="auto"/>
        <w:rPr>
          <w:rFonts w:ascii="仿宋_GB2312" w:hAnsi="仿宋_GB2312" w:eastAsia="仿宋_GB2312" w:cs="仿宋_GB2312"/>
          <w:b w:val="0"/>
          <w:bCs w:val="0"/>
          <w:color w:val="000000"/>
          <w:kern w:val="2"/>
          <w:sz w:val="31"/>
          <w:szCs w:val="31"/>
          <w:lang w:eastAsia="zh-CN"/>
        </w:rPr>
      </w:pPr>
      <w:r>
        <w:rPr>
          <w:rFonts w:hint="default" w:ascii="TimesNewRomanPSMT" w:hAnsi="TimesNewRomanPSMT" w:eastAsia="TimesNewRomanPSMT" w:cs="TimesNewRomanPSMT"/>
          <w:b w:val="0"/>
          <w:bCs w:val="0"/>
          <w:color w:val="000000"/>
          <w:kern w:val="2"/>
          <w:sz w:val="31"/>
          <w:szCs w:val="31"/>
          <w:lang w:eastAsia="zh-CN"/>
        </w:rPr>
        <w:t>5.</w:t>
      </w:r>
      <w:r>
        <w:rPr>
          <w:rFonts w:ascii="仿宋_GB2312" w:hAnsi="仿宋_GB2312" w:eastAsia="仿宋_GB2312" w:cs="仿宋_GB2312"/>
          <w:b w:val="0"/>
          <w:bCs w:val="0"/>
          <w:color w:val="000000"/>
          <w:kern w:val="2"/>
          <w:sz w:val="31"/>
          <w:szCs w:val="31"/>
          <w:lang w:eastAsia="zh-CN"/>
        </w:rPr>
        <w:t xml:space="preserve">城镇老旧小区改造补助资金绩效目标表 </w:t>
      </w:r>
    </w:p>
    <w:p>
      <w:pPr>
        <w:keepNext w:val="0"/>
        <w:keepLines w:val="0"/>
        <w:pageBreakBefore w:val="0"/>
        <w:widowControl w:val="0"/>
        <w:kinsoku/>
        <w:wordWrap/>
        <w:overflowPunct/>
        <w:topLinePunct w:val="0"/>
        <w:autoSpaceDE/>
        <w:autoSpaceDN/>
        <w:bidi w:val="0"/>
        <w:adjustRightInd/>
        <w:snapToGrid/>
        <w:spacing w:after="0" w:line="560" w:lineRule="exact"/>
        <w:ind w:firstLine="1550" w:firstLineChars="500"/>
        <w:jc w:val="both"/>
        <w:textAlignment w:val="auto"/>
        <w:rPr>
          <w:rFonts w:ascii="仿宋_GB2312" w:hAnsi="仿宋_GB2312" w:eastAsia="仿宋_GB2312" w:cs="仿宋_GB2312"/>
          <w:b w:val="0"/>
          <w:bCs w:val="0"/>
          <w:color w:val="000000"/>
          <w:kern w:val="2"/>
          <w:sz w:val="31"/>
          <w:szCs w:val="31"/>
          <w:lang w:eastAsia="zh-CN"/>
        </w:rPr>
      </w:pPr>
      <w:r>
        <w:rPr>
          <w:rFonts w:hint="default" w:ascii="TimesNewRomanPSMT" w:hAnsi="TimesNewRomanPSMT" w:eastAsia="TimesNewRomanPSMT" w:cs="TimesNewRomanPSMT"/>
          <w:b w:val="0"/>
          <w:bCs w:val="0"/>
          <w:color w:val="000000"/>
          <w:kern w:val="2"/>
          <w:sz w:val="31"/>
          <w:szCs w:val="31"/>
          <w:lang w:eastAsia="zh-CN"/>
        </w:rPr>
        <w:t>6.</w:t>
      </w:r>
      <w:r>
        <w:rPr>
          <w:rFonts w:ascii="仿宋_GB2312" w:hAnsi="仿宋_GB2312" w:eastAsia="仿宋_GB2312" w:cs="仿宋_GB2312"/>
          <w:b w:val="0"/>
          <w:bCs w:val="0"/>
          <w:color w:val="000000"/>
          <w:kern w:val="2"/>
          <w:sz w:val="31"/>
          <w:szCs w:val="31"/>
          <w:lang w:eastAsia="zh-CN"/>
        </w:rPr>
        <w:t>城市危旧房改造补助资金绩效目标表</w:t>
      </w:r>
    </w:p>
    <w:p>
      <w:pPr>
        <w:keepNext w:val="0"/>
        <w:keepLines w:val="0"/>
        <w:pageBreakBefore w:val="0"/>
        <w:widowControl w:val="0"/>
        <w:kinsoku/>
        <w:wordWrap/>
        <w:overflowPunct/>
        <w:topLinePunct w:val="0"/>
        <w:autoSpaceDE/>
        <w:autoSpaceDN/>
        <w:bidi w:val="0"/>
        <w:adjustRightInd/>
        <w:snapToGrid/>
        <w:spacing w:after="0" w:line="560" w:lineRule="exact"/>
        <w:ind w:firstLine="1550" w:firstLineChars="500"/>
        <w:jc w:val="both"/>
        <w:textAlignment w:val="auto"/>
        <w:rPr>
          <w:rFonts w:ascii="仿宋_GB2312" w:hAnsi="仿宋_GB2312" w:eastAsia="仿宋_GB2312" w:cs="仿宋_GB2312"/>
          <w:b w:val="0"/>
          <w:bCs w:val="0"/>
          <w:color w:val="000000"/>
          <w:kern w:val="2"/>
          <w:sz w:val="31"/>
          <w:szCs w:val="31"/>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1860" w:firstLineChars="600"/>
        <w:jc w:val="both"/>
        <w:textAlignment w:val="auto"/>
        <w:rPr>
          <w:rFonts w:hint="eastAsia" w:ascii="仿宋_GB2312" w:hAnsi="仿宋_GB2312" w:eastAsia="仿宋_GB2312" w:cs="仿宋_GB2312"/>
          <w:b w:val="0"/>
          <w:bCs w:val="0"/>
          <w:color w:val="000000"/>
          <w:kern w:val="2"/>
          <w:sz w:val="31"/>
          <w:szCs w:val="31"/>
          <w:lang w:val="en-US" w:eastAsia="zh-CN"/>
        </w:rPr>
      </w:pPr>
      <w:r>
        <w:rPr>
          <w:rFonts w:hint="eastAsia" w:ascii="仿宋_GB2312" w:hAnsi="仿宋_GB2312" w:eastAsia="仿宋_GB2312" w:cs="仿宋_GB2312"/>
          <w:b w:val="0"/>
          <w:bCs w:val="0"/>
          <w:color w:val="000000"/>
          <w:kern w:val="2"/>
          <w:sz w:val="31"/>
          <w:szCs w:val="31"/>
          <w:lang w:val="en-US" w:eastAsia="zh-CN"/>
        </w:rPr>
        <w:t>安徽省财政厅       安徽省住房和城乡建设厅</w:t>
      </w:r>
    </w:p>
    <w:p>
      <w:pPr>
        <w:keepNext w:val="0"/>
        <w:keepLines w:val="0"/>
        <w:pageBreakBefore w:val="0"/>
        <w:widowControl w:val="0"/>
        <w:tabs>
          <w:tab w:val="left" w:pos="1401"/>
          <w:tab w:val="left" w:pos="1551"/>
          <w:tab w:val="left" w:pos="3876"/>
        </w:tabs>
        <w:kinsoku/>
        <w:wordWrap/>
        <w:overflowPunct/>
        <w:topLinePunct w:val="0"/>
        <w:autoSpaceDE/>
        <w:autoSpaceDN/>
        <w:bidi w:val="0"/>
        <w:adjustRightInd/>
        <w:snapToGrid/>
        <w:spacing w:after="0" w:line="560" w:lineRule="exact"/>
        <w:ind w:firstLine="4160" w:firstLineChars="1300"/>
        <w:jc w:val="both"/>
        <w:textAlignment w:val="auto"/>
        <w:rPr>
          <w:rFonts w:hint="default" w:ascii="Times New Roman" w:hAnsi="Times New Roman" w:eastAsia="楷体" w:cs="Times New Roman"/>
          <w:b w:val="0"/>
          <w:bCs w:val="0"/>
          <w:color w:val="000000"/>
          <w:kern w:val="2"/>
          <w:sz w:val="32"/>
          <w:szCs w:val="32"/>
          <w:lang w:val="en-US" w:eastAsia="zh-CN"/>
        </w:rPr>
      </w:pPr>
      <w:r>
        <w:rPr>
          <w:rFonts w:hint="eastAsia" w:ascii="Times New Roman" w:hAnsi="Times New Roman" w:eastAsia="楷体" w:cs="Times New Roman"/>
          <w:b w:val="0"/>
          <w:bCs w:val="0"/>
          <w:color w:val="auto"/>
          <w:kern w:val="2"/>
          <w:sz w:val="32"/>
          <w:szCs w:val="32"/>
          <w:lang w:val="en-US" w:eastAsia="zh-CN"/>
        </w:rPr>
        <w:tab/>
      </w:r>
      <w:r>
        <w:rPr>
          <w:rFonts w:hint="eastAsia" w:ascii="Times New Roman" w:hAnsi="Times New Roman" w:eastAsia="楷体" w:cs="Times New Roman"/>
          <w:b w:val="0"/>
          <w:bCs w:val="0"/>
          <w:color w:val="auto"/>
          <w:kern w:val="2"/>
          <w:sz w:val="32"/>
          <w:szCs w:val="32"/>
          <w:lang w:val="en-US" w:eastAsia="zh-CN"/>
        </w:rPr>
        <w:tab/>
      </w:r>
      <w:r>
        <w:rPr>
          <w:rFonts w:hint="eastAsia" w:ascii="Times New Roman" w:hAnsi="Times New Roman" w:eastAsia="楷体" w:cs="Times New Roman"/>
          <w:b w:val="0"/>
          <w:bCs w:val="0"/>
          <w:color w:val="auto"/>
          <w:kern w:val="2"/>
          <w:sz w:val="32"/>
          <w:szCs w:val="32"/>
          <w:lang w:val="en-US" w:eastAsia="zh-CN"/>
        </w:rPr>
        <w:tab/>
      </w:r>
      <w:r>
        <w:rPr>
          <w:rFonts w:hint="eastAsia" w:ascii="Times New Roman" w:hAnsi="Times New Roman" w:eastAsia="楷体" w:cs="Times New Roman"/>
          <w:b w:val="0"/>
          <w:bCs w:val="0"/>
          <w:color w:val="auto"/>
          <w:kern w:val="2"/>
          <w:sz w:val="32"/>
          <w:szCs w:val="32"/>
          <w:lang w:val="en-US" w:eastAsia="zh-CN"/>
        </w:rPr>
        <w:t xml:space="preserve">   </w:t>
      </w:r>
      <w:r>
        <w:rPr>
          <w:rFonts w:hint="default" w:ascii="Times New Roman" w:hAnsi="Times New Roman" w:eastAsia="楷体" w:cs="Times New Roman"/>
          <w:b w:val="0"/>
          <w:bCs w:val="0"/>
          <w:color w:val="auto"/>
          <w:kern w:val="2"/>
          <w:sz w:val="32"/>
          <w:szCs w:val="32"/>
          <w:lang w:val="en-US" w:eastAsia="zh-CN"/>
        </w:rPr>
        <w:t>2025年</w:t>
      </w:r>
      <w:r>
        <w:rPr>
          <w:rFonts w:hint="default" w:ascii="Times New Roman" w:hAnsi="Times New Roman" w:eastAsia="楷体" w:cs="Times New Roman"/>
          <w:b w:val="0"/>
          <w:bCs w:val="0"/>
          <w:color w:val="000000"/>
          <w:kern w:val="2"/>
          <w:sz w:val="32"/>
          <w:szCs w:val="32"/>
          <w:lang w:val="en-US" w:eastAsia="zh-CN"/>
        </w:rPr>
        <w:t>9月9日</w:t>
      </w:r>
    </w:p>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pPr>
        <w:pStyle w:val="3"/>
        <w:pageBreakBefore w:val="0"/>
        <w:widowControl/>
        <w:kinsoku/>
        <w:wordWrap/>
        <w:overflowPunct/>
        <w:topLinePunct w:val="0"/>
        <w:autoSpaceDE/>
        <w:autoSpaceDN/>
        <w:bidi w:val="0"/>
        <w:adjustRightInd/>
        <w:snapToGrid/>
        <w:spacing w:before="0" w:after="0" w:line="240" w:lineRule="auto"/>
        <w:ind w:firstLine="1920" w:firstLineChars="6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城品活力贷贴息资金分配表</w:t>
      </w:r>
    </w:p>
    <w:p>
      <w:pPr>
        <w:pStyle w:val="3"/>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单</w:t>
      </w:r>
      <w:r>
        <w:rPr>
          <w:rFonts w:hint="default" w:ascii="Times New Roman" w:hAnsi="Times New Roman" w:eastAsia="仿宋_GB2312" w:cs="Times New Roman"/>
          <w:sz w:val="32"/>
          <w:szCs w:val="32"/>
        </w:rPr>
        <w:t>位：万元</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2"/>
        <w:gridCol w:w="4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拟分配资金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全省合计</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肥西县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庐江县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长丰县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淮北市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濉溪县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亳州市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蒙城县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谯城区</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宿州市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蚌埠市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固镇县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五河县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阜阳市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界首市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淮南市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凤台县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毛集实验区</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滁州市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天长市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全椒县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六安市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金寨县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马鞍山市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芜湖市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繁昌区</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宣城市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广德市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宁国市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池州市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安庆市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黄山市</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歙县</w:t>
            </w:r>
          </w:p>
        </w:tc>
        <w:tc>
          <w:tcPr>
            <w:tcW w:w="464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238.6</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城镇老旧小区改造补助资金分配表</w:t>
      </w:r>
    </w:p>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单位:万元</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752"/>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淮北市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亳州市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宿州市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蚌埠市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阜阳市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淮南市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滁州市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六安市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马鞍山市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芜湖市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宣城市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铜陵市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池州市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安庆市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p>
        </w:tc>
        <w:tc>
          <w:tcPr>
            <w:tcW w:w="2752"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黄山市</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4561" w:type="dxa"/>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10000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附件3</w:t>
      </w:r>
    </w:p>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城市危旧房资金分配表</w:t>
      </w:r>
    </w:p>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单位：万元</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411"/>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分配资金</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全省合计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14180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1821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1821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瑶海、包河、蜀山区为城乡房屋安全提升先行区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肥东县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肥西县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长丰县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巢湖市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庐江县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淮北市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濉溪县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亳州市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334</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谯城区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涡阳县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蒙城县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56</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利辛县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宿州市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埇桥区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砀山县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萧县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灵璧县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泗县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阜阳市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903</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颍州区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颍东区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颍泉区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295</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临泉县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太和县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59</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阜南县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颍上县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382</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界首市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蚌埠市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1893</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1048</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怀远县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245</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五河县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542</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固镇县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58</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淮南市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3927</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3393</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毛集实验区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凤台县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306</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寿县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228</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滁州市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南谯区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琅琊区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来安县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全椒县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天长市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定远县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凤阳县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明光市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593</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六安市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金安区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裕安区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叶集区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舒城县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金寨县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霍山县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霍邱县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皖北地区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马鞍山市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66</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当涂县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含山县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185</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和县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芜湖市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445</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424</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湾沚区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繁昌区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南陵县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无为市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宣城市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宣州区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99</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郎溪县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泾县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绩溪县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旌德县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87</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宁国市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广德市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铜陵市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2217</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1331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义安区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枞阳县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276</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池州市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贵池区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石台县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青阳县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安庆市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937</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156</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怀宁县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桐城市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382</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潜山市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岳西县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145</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太湖县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望江县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宿松县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城乡房屋安全提升先行区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黄山市</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376</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市本级</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屯溪区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179</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黄山区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徽州区</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歙县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休宁县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祁门县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黟县</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92"/>
        <w:gridCol w:w="1721"/>
        <w:gridCol w:w="3294"/>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1086330万元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附件4-2城品活力贷绩效目标表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38"/>
        <w:gridCol w:w="1803"/>
        <w:gridCol w:w="3473"/>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574.4万元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80831万元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附件4-3</w:t>
      </w:r>
      <w:r>
        <w:rPr>
          <w:rFonts w:hint="eastAsia" w:ascii="Times New Roman" w:hAnsi="Times New Roman" w:eastAsia="仿宋_GB2312" w:cs="Times New Roman"/>
          <w:sz w:val="32"/>
          <w:szCs w:val="32"/>
          <w:lang w:val="en-US" w:eastAsia="zh-CN"/>
        </w:rPr>
        <w:t xml:space="preserve"> </w:t>
      </w:r>
      <w:bookmarkStart w:id="1" w:name="_GoBack"/>
      <w:bookmarkEnd w:id="1"/>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38"/>
        <w:gridCol w:w="1803"/>
        <w:gridCol w:w="3473"/>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48960万元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38"/>
        <w:gridCol w:w="1803"/>
        <w:gridCol w:w="3473"/>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182.9万元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23353万元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17"/>
        <w:gridCol w:w="1766"/>
        <w:gridCol w:w="339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蚌埠市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853.4万元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124082万元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附件4-6</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17"/>
        <w:gridCol w:w="1766"/>
        <w:gridCol w:w="339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阜阳市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793.7万元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110552万元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附件4-7</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17"/>
        <w:gridCol w:w="1766"/>
        <w:gridCol w:w="339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210059万元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附件4-8</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42"/>
        <w:gridCol w:w="1810"/>
        <w:gridCol w:w="3488"/>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滁州市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支持“城品活力贷”项目。旨在激发社会资本活力,引导金融机构加大对城</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市更新和建筑市政基础设施设备更新领域的中长期信贷投放,重点推动建筑</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市政基础设施设备更新、舒心宜居改善、历史文化保护传承、绿色低碳城市</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建设及城市生命线安全工程。确保资金规范高效使用,严防新增地方政府隐性债务,有效提升城市功能品质、发展活力与安全韧性,形成可复制、可推</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8850万元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附件4-9</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38"/>
        <w:gridCol w:w="1803"/>
        <w:gridCol w:w="3473"/>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支持“城品活力贷”项目。旨在激发社会资本活力,引导金融机构加大对城</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市更新和建筑市政基础设施设备更新领域的中长期信贷投放,重点推动建筑</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市政基础设施设备更新、舒心宜居改善、历史文化保护传承、绿色低碳城市</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建设及城市生命线安全工程。确保资金规范高效使用,严防新增地方政府隐性债务,有效提升城市功能品质、发展活力与安全韧性,形成可复制、可推</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41470万元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改善城市人居环境生态环境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附件4-10</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38"/>
        <w:gridCol w:w="1803"/>
        <w:gridCol w:w="3473"/>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马鞍山市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19865万元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附件4-11</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17"/>
        <w:gridCol w:w="1766"/>
        <w:gridCol w:w="339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芜湖市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2501.9万元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支持“城品活力贷”项目。旨在激发社会资本活力,引导金融机构加大对城</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市更新和建筑市政基础设施设备更新领域的中长期信贷投放,重点推动建筑</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市政基础设施设备更新、舒心宜居改善、历史文化保护传承、绿色低碳城市</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建设及城市生命线安全工程。确保资金规范高效使用,严防新增地方政府隐性债务,有效提升城市功能品质、发展活力与安全韧性,形成可复制、可推</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467755万元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改善城市人居环境生态环境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附件4-12</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38"/>
        <w:gridCol w:w="1803"/>
        <w:gridCol w:w="3473"/>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261.6万元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支持“城品活力贷”项目。旨在激发社会资本活力,引导金融机构加大对城</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市更新和建筑市政基础设施设备更新领域的中长期信贷投放,重点推动建筑</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市政基础设施设备更新、舒心宜居改善、历史文化保护传承、绿色低碳城市</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建设及城市生命线安全工程。确保资金规范高效使用,严防新增地方政府隐性债务,有效提升城市功能品质、发展活力与安全韧性,形成可复制、可推</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37250万元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改善城市人居环境生态环境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附件4-13</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42"/>
        <w:gridCol w:w="1810"/>
        <w:gridCol w:w="3488"/>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支持“城品活力贷”项目。旨在激发社会资本活力,引导金融机构加大对城</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市更新和建筑市政基础设施设备更新领域的中长期信贷投放,重点推动建筑</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市政基础设施设备更新、舒心宜居改善、历史文化保护传承、绿色低碳城市</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建设及城市生命线安全工程。确保资金规范高效使用,严防新增地方政府隐性债务,有效提升城市功能品质、发展活力与安全韧性,形成可复制、可推</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改善城市人居环境生态环境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附件4-14</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42"/>
        <w:gridCol w:w="1810"/>
        <w:gridCol w:w="3488"/>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支持“城品活力贷”项目。旨在激发社会资本活力,引导金融机构加大对城</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附件4-15</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城品活力贷绩效目标表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38"/>
        <w:gridCol w:w="1803"/>
        <w:gridCol w:w="3473"/>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2025年度城市更新专项资金(城品活力贷)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238.6万元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府引导、调动市场、严防风险”原则,通过财政贴息方式精准支持“城品活力贷”项目。旨在激发社会资本活力,引导金融机构加大对城市更新和建筑市政基础设施设备更新领域的中长期信贷投放,重点推动建筑市政基础设施设备更新、舒心宜居改善、历史文化保护传承、绿色低碳城市建设及城市生命线安全工程。确保资金规范高效使用,严防新增地方政府隐性债务,有效提升城市功能品质、发展活力与安全韧性,形成可复制、可推广的经验模式,促进城市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享受贴息政策的“城品活力贷”项目数量</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项目建设及设备更新符合国家相关标准与规范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按时完成年度序时进度比例</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省级资金支付率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享受贴息的项目贷款按期付息率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拉动社会资本投资与银行贷款规模</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是否推动城市功能品质活力提升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改善城市人居环境</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公众满意度调查指标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有关项目公众服务对象满意度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附件5-1</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269"/>
        <w:gridCol w:w="1948"/>
        <w:gridCol w:w="2118"/>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396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99.7252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10735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402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88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≥99.7252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≥10735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≥402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≥88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附件5-2</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244"/>
        <w:gridCol w:w="1901"/>
        <w:gridCol w:w="2065"/>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819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200.6355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20616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829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34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≥200.6355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≥20616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≥829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≥34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附件5-3</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292"/>
        <w:gridCol w:w="1995"/>
        <w:gridCol w:w="2170"/>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175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33.387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3112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236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37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≥33.387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≥3112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≥236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≥37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附件5-4</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315"/>
        <w:gridCol w:w="2041"/>
        <w:gridCol w:w="2222"/>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96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17.71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1709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73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26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≥17.71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≥1709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≥73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≥26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附件5-5</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67"/>
        <w:gridCol w:w="1947"/>
        <w:gridCol w:w="2117"/>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蚌埠市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402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103.895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9014户,改造楼栋</w:t>
            </w:r>
            <w:r>
              <w:rPr>
                <w:rFonts w:hint="default" w:ascii="Times New Roman" w:hAnsi="Times New Roman" w:eastAsia="仿宋_GB2312" w:cs="Times New Roman"/>
                <w:sz w:val="32"/>
                <w:szCs w:val="32"/>
              </w:rPr>
              <w:t xml:space="preserve"> 333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33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≥103.895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≥9014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≥333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附件5-6</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336"/>
        <w:gridCol w:w="2079"/>
        <w:gridCol w:w="2264"/>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阜阳市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243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46.5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4852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193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46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≥46.5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≥4852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≥193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≥46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附件5-7</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247"/>
        <w:gridCol w:w="1902"/>
        <w:gridCol w:w="2066"/>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2420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490.2158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56785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2308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265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≥490.2158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≥56785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≥2308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≥265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附件5-8</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317"/>
        <w:gridCol w:w="2042"/>
        <w:gridCol w:w="2223"/>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滁州市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233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45.41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4957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217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82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≥45.41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≥4957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≥217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≥82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附件5-9</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292"/>
        <w:gridCol w:w="1995"/>
        <w:gridCol w:w="2170"/>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328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85.184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7625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354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48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≥85.184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≥7625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≥354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≥48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附件5-10</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246"/>
        <w:gridCol w:w="1901"/>
        <w:gridCol w:w="2066"/>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马鞍山市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864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240.4643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22445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2257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41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≥240.4643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≥22445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≥2257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≥41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附件5-11</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250"/>
        <w:gridCol w:w="1956"/>
        <w:gridCol w:w="2122"/>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芜湖市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909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282.309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27792户,改造楼栋</w:t>
            </w:r>
            <w:r>
              <w:rPr>
                <w:rFonts w:hint="default" w:ascii="Times New Roman" w:hAnsi="Times New Roman" w:eastAsia="仿宋_GB2312" w:cs="Times New Roman"/>
                <w:sz w:val="32"/>
                <w:szCs w:val="32"/>
              </w:rPr>
              <w:t xml:space="preserve"> 1006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75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≥282.309 </w:t>
            </w:r>
            <w:r>
              <w:rPr>
                <w:rFonts w:hint="default" w:ascii="Times New Roman" w:hAnsi="Times New Roman" w:eastAsia="仿宋_GB2312" w:cs="Times New Roman"/>
                <w:sz w:val="32"/>
                <w:szCs w:val="32"/>
              </w:rPr>
              <w:t>万平</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≥27792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≥1006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≥75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附件5-12</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319"/>
        <w:gridCol w:w="2043"/>
        <w:gridCol w:w="222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417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74.96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6851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1919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90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≥74.96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≥6851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≥1919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≥90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附件5-13</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269"/>
        <w:gridCol w:w="1948"/>
        <w:gridCol w:w="2118"/>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铜陵市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590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161.088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20149户,改造楼栋</w:t>
            </w:r>
            <w:r>
              <w:rPr>
                <w:rFonts w:hint="default" w:ascii="Times New Roman" w:hAnsi="Times New Roman" w:eastAsia="仿宋_GB2312" w:cs="Times New Roman"/>
                <w:sz w:val="32"/>
                <w:szCs w:val="32"/>
              </w:rPr>
              <w:t xml:space="preserve"> 691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32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≥161.088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≥20149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≥691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≥32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附件5-14</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296"/>
        <w:gridCol w:w="1996"/>
        <w:gridCol w:w="2172"/>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690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198.21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20430户,改造楼栋</w:t>
            </w:r>
            <w:r>
              <w:rPr>
                <w:rFonts w:hint="default" w:ascii="Times New Roman" w:hAnsi="Times New Roman" w:eastAsia="仿宋_GB2312" w:cs="Times New Roman"/>
                <w:sz w:val="32"/>
                <w:szCs w:val="32"/>
              </w:rPr>
              <w:t xml:space="preserve"> 1192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45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≥198.21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≥20430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≥1192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≥45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附件5-15</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97"/>
        <w:gridCol w:w="1998"/>
        <w:gridCol w:w="2172"/>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1034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273.77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25362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1033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126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≥273.77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≥25362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≥1033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≥126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附件5-16</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城镇老旧小区改造绩效目标表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294"/>
        <w:gridCol w:w="1996"/>
        <w:gridCol w:w="2171"/>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384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2025 </w:t>
            </w:r>
            <w:r>
              <w:rPr>
                <w:rFonts w:hint="default" w:ascii="Times New Roman" w:hAnsi="Times New Roman" w:eastAsia="仿宋_GB2312" w:cs="Times New Roman"/>
                <w:sz w:val="32"/>
                <w:szCs w:val="32"/>
              </w:rPr>
              <w:t>年完成</w:t>
            </w:r>
            <w:r>
              <w:rPr>
                <w:rFonts w:hint="default" w:ascii="Times New Roman" w:hAnsi="Times New Roman" w:eastAsia="仿宋_GB2312" w:cs="Times New Roman"/>
                <w:sz w:val="32"/>
                <w:szCs w:val="32"/>
              </w:rPr>
              <w:t xml:space="preserve"> 93.328 </w:t>
            </w:r>
            <w:r>
              <w:rPr>
                <w:rFonts w:hint="default" w:ascii="Times New Roman" w:hAnsi="Times New Roman" w:eastAsia="仿宋_GB2312" w:cs="Times New Roman"/>
                <w:sz w:val="32"/>
                <w:szCs w:val="32"/>
              </w:rPr>
              <w:t>万平方米老旧小区改造计划,改造</w:t>
            </w:r>
            <w:r>
              <w:rPr>
                <w:rFonts w:hint="default" w:ascii="Times New Roman" w:hAnsi="Times New Roman" w:eastAsia="仿宋_GB2312" w:cs="Times New Roman"/>
                <w:sz w:val="32"/>
                <w:szCs w:val="32"/>
              </w:rPr>
              <w:t xml:space="preserve"> 8921 </w:t>
            </w:r>
            <w:r>
              <w:rPr>
                <w:rFonts w:hint="default" w:ascii="Times New Roman" w:hAnsi="Times New Roman" w:eastAsia="仿宋_GB2312" w:cs="Times New Roman"/>
                <w:sz w:val="32"/>
                <w:szCs w:val="32"/>
              </w:rPr>
              <w:t>户,改造楼栋</w:t>
            </w:r>
            <w:r>
              <w:rPr>
                <w:rFonts w:hint="default" w:ascii="Times New Roman" w:hAnsi="Times New Roman" w:eastAsia="仿宋_GB2312" w:cs="Times New Roman"/>
                <w:sz w:val="32"/>
                <w:szCs w:val="32"/>
              </w:rPr>
              <w:t xml:space="preserve"> 1096 </w:t>
            </w:r>
            <w:r>
              <w:rPr>
                <w:rFonts w:hint="default" w:ascii="Times New Roman" w:hAnsi="Times New Roman" w:eastAsia="仿宋_GB2312" w:cs="Times New Roman"/>
                <w:sz w:val="32"/>
                <w:szCs w:val="32"/>
              </w:rPr>
              <w:t>栋,改造小区</w:t>
            </w:r>
            <w:r>
              <w:rPr>
                <w:rFonts w:hint="default" w:ascii="Times New Roman" w:hAnsi="Times New Roman" w:eastAsia="仿宋_GB2312" w:cs="Times New Roman"/>
                <w:sz w:val="32"/>
                <w:szCs w:val="32"/>
              </w:rPr>
              <w:t xml:space="preserve"> 61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改造面积</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≥93.328 </w:t>
            </w:r>
            <w:r>
              <w:rPr>
                <w:rFonts w:hint="default" w:ascii="Times New Roman" w:hAnsi="Times New Roman" w:eastAsia="仿宋_GB2312" w:cs="Times New Roman"/>
                <w:sz w:val="32"/>
                <w:szCs w:val="32"/>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改造户数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≥8921 </w:t>
            </w:r>
            <w:r>
              <w:rPr>
                <w:rFonts w:hint="default" w:ascii="Times New Roman" w:hAnsi="Times New Roman" w:eastAsia="仿宋_GB2312" w:cs="Times New Roman"/>
                <w:sz w:val="32"/>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改造楼栋数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≥1096 </w:t>
            </w:r>
            <w:r>
              <w:rPr>
                <w:rFonts w:hint="default" w:ascii="Times New Roman" w:hAnsi="Times New Roman" w:eastAsia="仿宋_GB2312" w:cs="Times New Roman"/>
                <w:sz w:val="32"/>
                <w:szCs w:val="32"/>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改造小区数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≥61 </w:t>
            </w:r>
            <w:r>
              <w:rPr>
                <w:rFonts w:hint="default" w:ascii="Times New Roman" w:hAnsi="Times New Roman" w:eastAsia="仿宋_GB2312" w:cs="Times New Roman"/>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开工目标完成率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老旧小区居民满意度</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附件6-1</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1821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城市危旧房改造1000套,开工建设安置住房727套。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附件6-2</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65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城市危旧房改造62</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套,开工建设安置住房</w:t>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附件6-3</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334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城市危旧房改造304套,开工建设安置住房228套。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附件6-4</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34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城市危旧房改造30</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套,开工建设安置住房29</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附件6-5</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蚌埠市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1893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城市危旧房改造1516套,开工建设安置住房909套。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附件6-6</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阜阳市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城市危旧房改造823套,开工建设安置住房627套。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附件6-7</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3927 </w:t>
            </w:r>
            <w:r>
              <w:rPr>
                <w:rFonts w:hint="default" w:ascii="Times New Roman" w:hAnsi="Times New Roman" w:eastAsia="仿宋_GB2312" w:cs="Times New Roman"/>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城市危旧房改造3595套,开工建设安置住房2144套。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附件6-8</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滁州市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633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城市危旧房改造285套,开工建设安置住房285套。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附件6-9</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城市危旧房改造3</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套,开工建设安置住房0</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附件6-10</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马鞍山市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260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城市危旧房改造282套,开工建设安置住房214套。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附件6-11</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芜湖市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445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城市危旧房改造535套,开工建设安置住房0套。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附件6-12</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250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城市危旧房改造266套,开工建设安置住房23套。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附件6-13</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铜陵市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2217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城市危旧房改造2566套,开工建设安置住房602套。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附件6-14</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80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w:t>
            </w:r>
            <w:r>
              <w:rPr>
                <w:rFonts w:hint="default" w:ascii="Times New Roman" w:hAnsi="Times New Roman" w:eastAsia="仿宋_GB2312" w:cs="Times New Roman"/>
                <w:sz w:val="32"/>
                <w:szCs w:val="32"/>
              </w:rPr>
              <w:t xml:space="preserve"> 85 </w:t>
            </w:r>
            <w:r>
              <w:rPr>
                <w:rFonts w:hint="default" w:ascii="Times New Roman" w:hAnsi="Times New Roman" w:eastAsia="仿宋_GB2312" w:cs="Times New Roman"/>
                <w:sz w:val="32"/>
                <w:szCs w:val="32"/>
              </w:rPr>
              <w:t>套,开工建设安置住房</w:t>
            </w:r>
            <w:r>
              <w:rPr>
                <w:rFonts w:hint="default" w:ascii="Times New Roman" w:hAnsi="Times New Roman" w:eastAsia="仿宋_GB2312" w:cs="Times New Roman"/>
                <w:sz w:val="32"/>
                <w:szCs w:val="32"/>
              </w:rPr>
              <w:t xml:space="preserve"> 40 </w:t>
            </w:r>
            <w:r>
              <w:rPr>
                <w:rFonts w:hint="default" w:ascii="Times New Roman" w:hAnsi="Times New Roman" w:eastAsia="仿宋_GB2312" w:cs="Times New Roman"/>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附件6-15</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937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城市危旧房改造699套,开工建设安置住房485套。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附件6-16</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城市危旧房绩效目标表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30"/>
        <w:gridCol w:w="1523"/>
        <w:gridCol w:w="360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专项名称</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下达地方或单位</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本次下达省级资金(万元)</w:t>
            </w:r>
          </w:p>
        </w:tc>
        <w:tc>
          <w:tcPr>
            <w:gridSpan w:val="3"/>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376 </w:t>
            </w:r>
            <w:r>
              <w:rPr>
                <w:rFonts w:hint="default" w:ascii="Times New Roman" w:hAnsi="Times New Roman" w:eastAsia="仿宋_GB2312" w:cs="Times New Roman"/>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年度总体目标</w:t>
            </w:r>
          </w:p>
        </w:tc>
        <w:tc>
          <w:tcPr>
            <w:gridSpan w:val="4"/>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城市危旧房改造388套,开工建设安置住房168套。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产出指标</w:t>
            </w: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城市危旧房改造间数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安置住房开工套数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工程质量是否符合标准</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年底前,完成年度城市危旧房改造安置住房开工计划套数</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restart"/>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群众居住条件是否改善</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可持续影响指标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制定城市危旧房改造五年规划和年度计划,并严格实施。</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服务对象满意度指标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城市危旧房改造居民满意度指标</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r>
    </w:tbl>
    <w:p>
      <w:pPr>
        <w:pStyle w:val="3"/>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信息公开类别：主动公开</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tcPr>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抄送：财政部安徽监管局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安徽省财政厅办公室</w:t>
            </w:r>
          </w:p>
        </w:tc>
        <w:tc>
          <w:p>
            <w:pPr>
              <w:pStyle w:val="25"/>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2025年9月16日印发</w:t>
            </w:r>
          </w:p>
        </w:tc>
      </w:tr>
      <w:bookmarkEnd w:id="0"/>
    </w:tbl>
    <w:p>
      <w:pPr>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sectPr>
      <w:footnotePr>
        <w:numRestart w:val="eachSect"/>
      </w:footnote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ptos">
    <w:altName w:val="Segoe Print"/>
    <w:panose1 w:val="00000000000000000000"/>
    <w:charset w:val="00"/>
    <w:family w:val="swiss"/>
    <w:pitch w:val="default"/>
    <w:sig w:usb0="00000000" w:usb1="00000000" w:usb2="00000000"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useFELayout/>
    <w:compatSetting w:name="compatibilityMode" w:uri="http://schemas.microsoft.com/office/word" w:val="12"/>
  </w:compat>
  <w:rsids>
    <w:rsidRoot w:val="005D233A"/>
    <w:rsid w:val="00085980"/>
    <w:rsid w:val="00297854"/>
    <w:rsid w:val="002F2FBF"/>
    <w:rsid w:val="003421D2"/>
    <w:rsid w:val="005D233A"/>
    <w:rsid w:val="005E4580"/>
    <w:rsid w:val="006E3379"/>
    <w:rsid w:val="00B223CB"/>
    <w:rsid w:val="00C71066"/>
    <w:rsid w:val="00D00EB3"/>
    <w:rsid w:val="1C9B3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paragraph" w:styleId="2">
    <w:name w:val="heading 1"/>
    <w:basedOn w:val="1"/>
    <w:next w:val="3"/>
    <w:link w:val="33"/>
    <w:qFormat/>
    <w:uiPriority w:val="9"/>
    <w:pPr>
      <w:keepNext/>
      <w:keepLines/>
      <w:spacing w:before="360" w:after="80"/>
      <w:outlineLvl w:val="0"/>
    </w:pPr>
    <w:rPr>
      <w:rFonts w:asciiTheme="majorHAnsi" w:hAnsiTheme="majorHAnsi" w:eastAsiaTheme="majorEastAsia" w:cstheme="majorBidi"/>
      <w:color w:val="000000" w:themeColor="text1"/>
      <w:sz w:val="40"/>
      <w:szCs w:val="40"/>
    </w:rPr>
  </w:style>
  <w:style w:type="paragraph" w:styleId="4">
    <w:name w:val="heading 2"/>
    <w:basedOn w:val="1"/>
    <w:next w:val="3"/>
    <w:link w:val="34"/>
    <w:semiHidden/>
    <w:unhideWhenUsed/>
    <w:qFormat/>
    <w:uiPriority w:val="9"/>
    <w:pPr>
      <w:keepNext/>
      <w:keepLines/>
      <w:spacing w:before="160" w:after="80"/>
      <w:outlineLvl w:val="1"/>
    </w:pPr>
    <w:rPr>
      <w:rFonts w:asciiTheme="majorHAnsi" w:hAnsiTheme="majorHAnsi" w:eastAsiaTheme="majorEastAsia" w:cstheme="majorBidi"/>
      <w:color w:val="000000" w:themeColor="text1"/>
      <w:sz w:val="32"/>
      <w:szCs w:val="32"/>
    </w:rPr>
  </w:style>
  <w:style w:type="paragraph" w:styleId="5">
    <w:name w:val="heading 3"/>
    <w:basedOn w:val="1"/>
    <w:next w:val="3"/>
    <w:link w:val="35"/>
    <w:semiHidden/>
    <w:unhideWhenUsed/>
    <w:qFormat/>
    <w:uiPriority w:val="9"/>
    <w:pPr>
      <w:keepNext/>
      <w:keepLines/>
      <w:spacing w:before="160" w:after="80"/>
      <w:outlineLvl w:val="2"/>
    </w:pPr>
    <w:rPr>
      <w:rFonts w:eastAsiaTheme="majorEastAsia" w:cstheme="majorBidi"/>
      <w:sz w:val="28"/>
      <w:szCs w:val="28"/>
    </w:rPr>
  </w:style>
  <w:style w:type="paragraph" w:styleId="6">
    <w:name w:val="heading 4"/>
    <w:basedOn w:val="1"/>
    <w:next w:val="3"/>
    <w:link w:val="36"/>
    <w:semiHidden/>
    <w:unhideWhenUsed/>
    <w:qFormat/>
    <w:uiPriority w:val="9"/>
    <w:pPr>
      <w:keepNext/>
      <w:keepLines/>
      <w:spacing w:before="80" w:after="40"/>
      <w:outlineLvl w:val="3"/>
    </w:pPr>
    <w:rPr>
      <w:rFonts w:eastAsiaTheme="majorEastAsia" w:cstheme="majorBidi"/>
      <w:i/>
      <w:iCs/>
      <w:color w:val="000000" w:themeColor="text1"/>
    </w:rPr>
  </w:style>
  <w:style w:type="paragraph" w:styleId="7">
    <w:name w:val="heading 5"/>
    <w:basedOn w:val="1"/>
    <w:next w:val="3"/>
    <w:link w:val="37"/>
    <w:semiHidden/>
    <w:unhideWhenUsed/>
    <w:qFormat/>
    <w:uiPriority w:val="9"/>
    <w:pPr>
      <w:keepNext/>
      <w:keepLines/>
      <w:spacing w:before="80" w:after="40"/>
      <w:outlineLvl w:val="4"/>
    </w:pPr>
    <w:rPr>
      <w:rFonts w:eastAsiaTheme="majorEastAsia" w:cstheme="majorBidi"/>
      <w:color w:val="000000" w:themeColor="text1"/>
    </w:rPr>
  </w:style>
  <w:style w:type="paragraph" w:styleId="8">
    <w:name w:val="heading 6"/>
    <w:basedOn w:val="1"/>
    <w:next w:val="3"/>
    <w:link w:val="38"/>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9"/>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40"/>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41"/>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180" w:after="180" w:line="312" w:lineRule="auto"/>
    </w:pPr>
  </w:style>
  <w:style w:type="paragraph" w:styleId="12">
    <w:name w:val="caption"/>
    <w:basedOn w:val="1"/>
    <w:next w:val="1"/>
    <w:link w:val="22"/>
    <w:uiPriority w:val="0"/>
    <w:pPr>
      <w:spacing w:after="120"/>
    </w:pPr>
    <w:rPr>
      <w:i/>
    </w:rPr>
  </w:style>
  <w:style w:type="paragraph" w:styleId="13">
    <w:name w:val="Block Text"/>
    <w:basedOn w:val="3"/>
    <w:next w:val="3"/>
    <w:unhideWhenUsed/>
    <w:qFormat/>
    <w:uiPriority w:val="9"/>
    <w:pPr>
      <w:spacing w:before="100" w:after="100"/>
      <w:ind w:left="480" w:right="480"/>
    </w:pPr>
  </w:style>
  <w:style w:type="paragraph" w:styleId="14">
    <w:name w:val="Date"/>
    <w:basedOn w:val="15"/>
    <w:next w:val="3"/>
    <w:qFormat/>
    <w:uiPriority w:val="0"/>
    <w:pPr>
      <w:keepNext/>
      <w:keepLines/>
    </w:pPr>
    <w:rPr>
      <w:sz w:val="24"/>
      <w:szCs w:val="24"/>
    </w:rPr>
  </w:style>
  <w:style w:type="paragraph" w:styleId="15">
    <w:name w:val="Title"/>
    <w:basedOn w:val="1"/>
    <w:next w:val="3"/>
    <w:link w:val="27"/>
    <w:qFormat/>
    <w:uiPriority w:val="10"/>
    <w:pPr>
      <w:spacing w:after="80"/>
      <w:contextualSpacing/>
      <w:jc w:val="center"/>
    </w:pPr>
    <w:rPr>
      <w:rFonts w:asciiTheme="majorHAnsi" w:hAnsiTheme="majorHAnsi" w:eastAsiaTheme="majorEastAsia" w:cstheme="majorBidi"/>
      <w:sz w:val="56"/>
      <w:szCs w:val="56"/>
    </w:rPr>
  </w:style>
  <w:style w:type="paragraph" w:styleId="16">
    <w:name w:val="Subtitle"/>
    <w:basedOn w:val="15"/>
    <w:next w:val="3"/>
    <w:link w:val="28"/>
    <w:qFormat/>
    <w:uiPriority w:val="11"/>
    <w:rPr>
      <w:spacing w:val="15"/>
      <w:sz w:val="28"/>
      <w:szCs w:val="28"/>
    </w:rPr>
  </w:style>
  <w:style w:type="paragraph" w:styleId="17">
    <w:name w:val="footnote text"/>
    <w:basedOn w:val="1"/>
    <w:unhideWhenUsed/>
    <w:qFormat/>
    <w:uiPriority w:val="9"/>
  </w:style>
  <w:style w:type="table" w:styleId="19">
    <w:name w:val="Table Grid"/>
    <w:uiPriority w:val="0"/>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Hyperlink"/>
    <w:basedOn w:val="22"/>
    <w:uiPriority w:val="0"/>
    <w:rPr>
      <w:color w:val="156082" w:themeColor="accent1"/>
    </w:rPr>
  </w:style>
  <w:style w:type="character" w:customStyle="1" w:styleId="22">
    <w:name w:val="题注 字符"/>
    <w:basedOn w:val="20"/>
    <w:link w:val="12"/>
    <w:uiPriority w:val="0"/>
  </w:style>
  <w:style w:type="character" w:styleId="23">
    <w:name w:val="footnote reference"/>
    <w:basedOn w:val="22"/>
    <w:uiPriority w:val="0"/>
    <w:rPr>
      <w:vertAlign w:val="superscript"/>
    </w:rPr>
  </w:style>
  <w:style w:type="paragraph" w:customStyle="1" w:styleId="24">
    <w:name w:val="Compact"/>
    <w:next w:val="25"/>
    <w:qFormat/>
    <w:uiPriority w:val="0"/>
    <w:pPr>
      <w:spacing w:before="36" w:after="36"/>
    </w:pPr>
    <w:rPr>
      <w:rFonts w:asciiTheme="minorHAnsi" w:hAnsiTheme="minorHAnsi" w:eastAsiaTheme="minorEastAsia" w:cstheme="minorBidi"/>
      <w:sz w:val="24"/>
      <w:szCs w:val="24"/>
      <w:lang w:val="en-US" w:eastAsia="en-US" w:bidi="ar-SA"/>
    </w:rPr>
  </w:style>
  <w:style w:type="paragraph" w:customStyle="1" w:styleId="25">
    <w:name w:val="Compact1"/>
    <w:basedOn w:val="3"/>
    <w:qFormat/>
    <w:uiPriority w:val="0"/>
    <w:pPr>
      <w:spacing w:before="36" w:after="36"/>
    </w:pPr>
  </w:style>
  <w:style w:type="paragraph" w:customStyle="1" w:styleId="26">
    <w:name w:val="First Paragraph"/>
    <w:basedOn w:val="3"/>
    <w:next w:val="3"/>
    <w:qFormat/>
    <w:uiPriority w:val="0"/>
  </w:style>
  <w:style w:type="character" w:customStyle="1" w:styleId="27">
    <w:name w:val="标题 字符"/>
    <w:basedOn w:val="20"/>
    <w:link w:val="15"/>
    <w:uiPriority w:val="10"/>
    <w:rPr>
      <w:rFonts w:asciiTheme="majorHAnsi" w:hAnsiTheme="majorHAnsi" w:eastAsiaTheme="majorEastAsia" w:cstheme="majorBidi"/>
      <w:sz w:val="56"/>
      <w:szCs w:val="56"/>
    </w:rPr>
  </w:style>
  <w:style w:type="character" w:customStyle="1" w:styleId="28">
    <w:name w:val="副标题 字符"/>
    <w:basedOn w:val="20"/>
    <w:link w:val="16"/>
    <w:uiPriority w:val="11"/>
    <w:rPr>
      <w:rFonts w:eastAsiaTheme="majorEastAsia" w:cstheme="majorBidi"/>
      <w:color w:val="585858" w:themeColor="text1" w:themeTint="A6"/>
      <w:spacing w:val="15"/>
      <w:sz w:val="28"/>
      <w:szCs w:val="28"/>
    </w:rPr>
  </w:style>
  <w:style w:type="paragraph" w:customStyle="1" w:styleId="29">
    <w:name w:val="Author"/>
    <w:basedOn w:val="15"/>
    <w:next w:val="3"/>
    <w:qFormat/>
    <w:uiPriority w:val="0"/>
    <w:pPr>
      <w:keepNext/>
      <w:keepLines/>
    </w:pPr>
    <w:rPr>
      <w:sz w:val="24"/>
      <w:szCs w:val="24"/>
    </w:rPr>
  </w:style>
  <w:style w:type="paragraph" w:customStyle="1" w:styleId="30">
    <w:name w:val="Abstract Title"/>
    <w:basedOn w:val="1"/>
    <w:next w:val="31"/>
    <w:qFormat/>
    <w:uiPriority w:val="0"/>
    <w:pPr>
      <w:keepNext/>
      <w:keepLines/>
      <w:spacing w:before="300" w:after="0"/>
      <w:jc w:val="center"/>
    </w:pPr>
    <w:rPr>
      <w:b/>
      <w:sz w:val="20"/>
      <w:szCs w:val="20"/>
    </w:rPr>
  </w:style>
  <w:style w:type="paragraph" w:customStyle="1" w:styleId="31">
    <w:name w:val="Abstract"/>
    <w:basedOn w:val="1"/>
    <w:next w:val="3"/>
    <w:qFormat/>
    <w:uiPriority w:val="0"/>
    <w:pPr>
      <w:keepNext/>
      <w:keepLines/>
      <w:spacing w:before="100" w:after="300"/>
    </w:pPr>
    <w:rPr>
      <w:sz w:val="20"/>
      <w:szCs w:val="20"/>
    </w:rPr>
  </w:style>
  <w:style w:type="paragraph" w:customStyle="1" w:styleId="32">
    <w:name w:val="Bibliography"/>
    <w:basedOn w:val="1"/>
    <w:qFormat/>
    <w:uiPriority w:val="0"/>
  </w:style>
  <w:style w:type="character" w:customStyle="1" w:styleId="33">
    <w:name w:val="标题 1 字符"/>
    <w:basedOn w:val="20"/>
    <w:link w:val="2"/>
    <w:uiPriority w:val="9"/>
    <w:rPr>
      <w:rFonts w:asciiTheme="majorHAnsi" w:hAnsiTheme="majorHAnsi" w:eastAsiaTheme="majorEastAsia" w:cstheme="majorBidi"/>
      <w:color w:val="000000" w:themeColor="text1"/>
      <w:sz w:val="40"/>
      <w:szCs w:val="40"/>
    </w:rPr>
  </w:style>
  <w:style w:type="character" w:customStyle="1" w:styleId="34">
    <w:name w:val="标题 2 字符"/>
    <w:basedOn w:val="20"/>
    <w:link w:val="4"/>
    <w:semiHidden/>
    <w:uiPriority w:val="9"/>
    <w:rPr>
      <w:rFonts w:asciiTheme="majorHAnsi" w:hAnsiTheme="majorHAnsi" w:eastAsiaTheme="majorEastAsia" w:cstheme="majorBidi"/>
      <w:color w:val="000000" w:themeColor="text1"/>
      <w:sz w:val="32"/>
      <w:szCs w:val="32"/>
    </w:rPr>
  </w:style>
  <w:style w:type="character" w:customStyle="1" w:styleId="35">
    <w:name w:val="标题 3 字符"/>
    <w:basedOn w:val="20"/>
    <w:link w:val="5"/>
    <w:semiHidden/>
    <w:uiPriority w:val="9"/>
    <w:rPr>
      <w:rFonts w:eastAsiaTheme="majorEastAsia" w:cstheme="majorBidi"/>
      <w:sz w:val="28"/>
      <w:szCs w:val="28"/>
    </w:rPr>
  </w:style>
  <w:style w:type="character" w:customStyle="1" w:styleId="36">
    <w:name w:val="标题 4 字符"/>
    <w:basedOn w:val="20"/>
    <w:link w:val="6"/>
    <w:semiHidden/>
    <w:uiPriority w:val="9"/>
    <w:rPr>
      <w:rFonts w:eastAsiaTheme="majorEastAsia" w:cstheme="majorBidi"/>
      <w:i/>
      <w:iCs/>
      <w:color w:val="000000" w:themeColor="text1"/>
    </w:rPr>
  </w:style>
  <w:style w:type="character" w:customStyle="1" w:styleId="37">
    <w:name w:val="标题 5 字符"/>
    <w:basedOn w:val="20"/>
    <w:link w:val="7"/>
    <w:semiHidden/>
    <w:uiPriority w:val="9"/>
    <w:rPr>
      <w:rFonts w:eastAsiaTheme="majorEastAsia" w:cstheme="majorBidi"/>
      <w:color w:val="000000" w:themeColor="text1"/>
    </w:rPr>
  </w:style>
  <w:style w:type="character" w:customStyle="1" w:styleId="38">
    <w:name w:val="标题 6 字符"/>
    <w:basedOn w:val="20"/>
    <w:link w:val="8"/>
    <w:semiHidden/>
    <w:uiPriority w:val="9"/>
    <w:rPr>
      <w:rFonts w:eastAsiaTheme="majorEastAsia" w:cstheme="majorBidi"/>
      <w:i/>
      <w:iCs/>
      <w:color w:val="585858" w:themeColor="text1" w:themeTint="A6"/>
    </w:rPr>
  </w:style>
  <w:style w:type="character" w:customStyle="1" w:styleId="39">
    <w:name w:val="标题 7 字符"/>
    <w:basedOn w:val="20"/>
    <w:link w:val="9"/>
    <w:semiHidden/>
    <w:uiPriority w:val="9"/>
    <w:rPr>
      <w:rFonts w:eastAsiaTheme="majorEastAsia" w:cstheme="majorBidi"/>
      <w:color w:val="585858" w:themeColor="text1" w:themeTint="A6"/>
    </w:rPr>
  </w:style>
  <w:style w:type="character" w:customStyle="1" w:styleId="40">
    <w:name w:val="标题 8 字符"/>
    <w:basedOn w:val="20"/>
    <w:link w:val="10"/>
    <w:semiHidden/>
    <w:uiPriority w:val="9"/>
    <w:rPr>
      <w:rFonts w:eastAsiaTheme="majorEastAsia" w:cstheme="majorBidi"/>
      <w:i/>
      <w:iCs/>
      <w:color w:val="262626" w:themeColor="text1" w:themeTint="D8"/>
    </w:rPr>
  </w:style>
  <w:style w:type="character" w:customStyle="1" w:styleId="41">
    <w:name w:val="标题 9 字符"/>
    <w:basedOn w:val="20"/>
    <w:link w:val="11"/>
    <w:semiHidden/>
    <w:uiPriority w:val="9"/>
    <w:rPr>
      <w:rFonts w:eastAsiaTheme="majorEastAsia" w:cstheme="majorBidi"/>
      <w:color w:val="262626" w:themeColor="text1" w:themeTint="D8"/>
    </w:rPr>
  </w:style>
  <w:style w:type="paragraph" w:customStyle="1" w:styleId="42">
    <w:name w:val="Footnote Block Text"/>
    <w:basedOn w:val="17"/>
    <w:next w:val="17"/>
    <w:unhideWhenUsed/>
    <w:qFormat/>
    <w:uiPriority w:val="9"/>
    <w:pPr>
      <w:spacing w:before="100" w:after="100"/>
      <w:ind w:left="480" w:right="480"/>
    </w:pPr>
  </w:style>
  <w:style w:type="table" w:customStyle="1" w:styleId="43">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44">
    <w:name w:val="Definition Term"/>
    <w:basedOn w:val="1"/>
    <w:next w:val="45"/>
    <w:uiPriority w:val="0"/>
    <w:pPr>
      <w:keepNext/>
      <w:keepLines/>
      <w:spacing w:after="0" w:line="288" w:lineRule="auto"/>
    </w:pPr>
    <w:rPr>
      <w:b/>
    </w:rPr>
  </w:style>
  <w:style w:type="paragraph" w:customStyle="1" w:styleId="45">
    <w:name w:val="Definition"/>
    <w:basedOn w:val="1"/>
    <w:uiPriority w:val="0"/>
    <w:pPr>
      <w:spacing w:line="312" w:lineRule="auto"/>
    </w:pPr>
  </w:style>
  <w:style w:type="paragraph" w:customStyle="1" w:styleId="46">
    <w:name w:val="Table Caption"/>
    <w:basedOn w:val="12"/>
    <w:uiPriority w:val="0"/>
    <w:pPr>
      <w:keepNext/>
    </w:pPr>
  </w:style>
  <w:style w:type="paragraph" w:customStyle="1" w:styleId="47">
    <w:name w:val="Image Caption"/>
    <w:basedOn w:val="12"/>
    <w:uiPriority w:val="0"/>
  </w:style>
  <w:style w:type="paragraph" w:customStyle="1" w:styleId="48">
    <w:name w:val="Figure"/>
    <w:basedOn w:val="1"/>
    <w:uiPriority w:val="0"/>
  </w:style>
  <w:style w:type="paragraph" w:customStyle="1" w:styleId="49">
    <w:name w:val="Captioned Figure"/>
    <w:basedOn w:val="48"/>
    <w:uiPriority w:val="0"/>
    <w:pPr>
      <w:keepNext/>
    </w:pPr>
  </w:style>
  <w:style w:type="character" w:customStyle="1" w:styleId="50">
    <w:name w:val="Verbatim Char"/>
    <w:basedOn w:val="22"/>
    <w:link w:val="51"/>
    <w:uiPriority w:val="0"/>
    <w:rPr>
      <w:rFonts w:ascii="Consolas" w:hAnsi="Consolas"/>
      <w:sz w:val="22"/>
    </w:rPr>
  </w:style>
  <w:style w:type="paragraph" w:customStyle="1" w:styleId="51">
    <w:name w:val="Source Code"/>
    <w:link w:val="50"/>
    <w:uiPriority w:val="0"/>
    <w:pPr>
      <w:wordWrap w:val="0"/>
      <w:spacing w:after="200"/>
    </w:pPr>
    <w:rPr>
      <w:rFonts w:asciiTheme="minorHAnsi" w:hAnsiTheme="minorHAnsi" w:eastAsiaTheme="minorEastAsia" w:cstheme="minorBidi"/>
      <w:sz w:val="24"/>
      <w:szCs w:val="24"/>
      <w:lang w:val="en-US" w:eastAsia="en-US" w:bidi="ar-SA"/>
    </w:rPr>
  </w:style>
  <w:style w:type="character" w:customStyle="1" w:styleId="52">
    <w:name w:val="Section Number"/>
    <w:basedOn w:val="22"/>
    <w:uiPriority w:val="0"/>
  </w:style>
  <w:style w:type="paragraph" w:customStyle="1" w:styleId="53">
    <w:name w:val="TOC Heading"/>
    <w:basedOn w:val="2"/>
    <w:next w:val="3"/>
    <w:unhideWhenUsed/>
    <w:qFormat/>
    <w:uiPriority w:val="39"/>
    <w:pPr>
      <w:spacing w:before="240" w:line="259" w:lineRule="auto"/>
      <w:outlineLvl w:val="9"/>
    </w:pPr>
  </w:style>
  <w:style w:type="character" w:customStyle="1" w:styleId="54">
    <w:name w:val="KeywordTok"/>
    <w:basedOn w:val="50"/>
    <w:uiPriority w:val="0"/>
    <w:rPr>
      <w:b/>
      <w:color w:val="007020"/>
    </w:rPr>
  </w:style>
  <w:style w:type="character" w:customStyle="1" w:styleId="55">
    <w:name w:val="DataTypeTok"/>
    <w:basedOn w:val="50"/>
    <w:uiPriority w:val="0"/>
    <w:rPr>
      <w:color w:val="902000"/>
    </w:rPr>
  </w:style>
  <w:style w:type="character" w:customStyle="1" w:styleId="56">
    <w:name w:val="DecValTok"/>
    <w:basedOn w:val="50"/>
    <w:uiPriority w:val="0"/>
    <w:rPr>
      <w:color w:val="40A070"/>
    </w:rPr>
  </w:style>
  <w:style w:type="character" w:customStyle="1" w:styleId="57">
    <w:name w:val="BaseNTok"/>
    <w:basedOn w:val="50"/>
    <w:uiPriority w:val="0"/>
    <w:rPr>
      <w:color w:val="40A070"/>
    </w:rPr>
  </w:style>
  <w:style w:type="character" w:customStyle="1" w:styleId="58">
    <w:name w:val="FloatTok"/>
    <w:basedOn w:val="50"/>
    <w:uiPriority w:val="0"/>
    <w:rPr>
      <w:color w:val="40A070"/>
    </w:rPr>
  </w:style>
  <w:style w:type="character" w:customStyle="1" w:styleId="59">
    <w:name w:val="ConstantTok"/>
    <w:basedOn w:val="50"/>
    <w:uiPriority w:val="0"/>
    <w:rPr>
      <w:color w:val="880000"/>
    </w:rPr>
  </w:style>
  <w:style w:type="character" w:customStyle="1" w:styleId="60">
    <w:name w:val="CharTok"/>
    <w:basedOn w:val="50"/>
    <w:uiPriority w:val="0"/>
    <w:rPr>
      <w:color w:val="4070A0"/>
    </w:rPr>
  </w:style>
  <w:style w:type="character" w:customStyle="1" w:styleId="61">
    <w:name w:val="SpecialCharTok"/>
    <w:basedOn w:val="50"/>
    <w:uiPriority w:val="0"/>
    <w:rPr>
      <w:color w:val="4070A0"/>
    </w:rPr>
  </w:style>
  <w:style w:type="character" w:customStyle="1" w:styleId="62">
    <w:name w:val="StringTok"/>
    <w:basedOn w:val="50"/>
    <w:uiPriority w:val="0"/>
    <w:rPr>
      <w:color w:val="4070A0"/>
    </w:rPr>
  </w:style>
  <w:style w:type="character" w:customStyle="1" w:styleId="63">
    <w:name w:val="VerbatimStringTok"/>
    <w:basedOn w:val="50"/>
    <w:uiPriority w:val="0"/>
    <w:rPr>
      <w:color w:val="4070A0"/>
    </w:rPr>
  </w:style>
  <w:style w:type="character" w:customStyle="1" w:styleId="64">
    <w:name w:val="SpecialStringTok"/>
    <w:basedOn w:val="50"/>
    <w:uiPriority w:val="0"/>
    <w:rPr>
      <w:color w:val="BB6688"/>
    </w:rPr>
  </w:style>
  <w:style w:type="character" w:customStyle="1" w:styleId="65">
    <w:name w:val="ImportTok"/>
    <w:basedOn w:val="50"/>
    <w:uiPriority w:val="0"/>
    <w:rPr>
      <w:b/>
      <w:color w:val="008000"/>
    </w:rPr>
  </w:style>
  <w:style w:type="character" w:customStyle="1" w:styleId="66">
    <w:name w:val="CommentTok"/>
    <w:basedOn w:val="50"/>
    <w:uiPriority w:val="0"/>
    <w:rPr>
      <w:i/>
      <w:color w:val="60A0B0"/>
    </w:rPr>
  </w:style>
  <w:style w:type="character" w:customStyle="1" w:styleId="67">
    <w:name w:val="DocumentationTok"/>
    <w:basedOn w:val="50"/>
    <w:uiPriority w:val="0"/>
    <w:rPr>
      <w:i/>
      <w:color w:val="BA2121"/>
    </w:rPr>
  </w:style>
  <w:style w:type="character" w:customStyle="1" w:styleId="68">
    <w:name w:val="AnnotationTok"/>
    <w:basedOn w:val="50"/>
    <w:uiPriority w:val="0"/>
    <w:rPr>
      <w:b/>
      <w:i/>
      <w:color w:val="60A0B0"/>
    </w:rPr>
  </w:style>
  <w:style w:type="character" w:customStyle="1" w:styleId="69">
    <w:name w:val="CommentVarTok"/>
    <w:basedOn w:val="50"/>
    <w:uiPriority w:val="0"/>
    <w:rPr>
      <w:b/>
      <w:i/>
      <w:color w:val="60A0B0"/>
    </w:rPr>
  </w:style>
  <w:style w:type="character" w:customStyle="1" w:styleId="70">
    <w:name w:val="OtherTok"/>
    <w:basedOn w:val="50"/>
    <w:uiPriority w:val="0"/>
    <w:rPr>
      <w:color w:val="007020"/>
    </w:rPr>
  </w:style>
  <w:style w:type="character" w:customStyle="1" w:styleId="71">
    <w:name w:val="FunctionTok"/>
    <w:basedOn w:val="50"/>
    <w:uiPriority w:val="0"/>
    <w:rPr>
      <w:color w:val="06287E"/>
    </w:rPr>
  </w:style>
  <w:style w:type="character" w:customStyle="1" w:styleId="72">
    <w:name w:val="VariableTok"/>
    <w:basedOn w:val="50"/>
    <w:uiPriority w:val="0"/>
    <w:rPr>
      <w:color w:val="19177C"/>
    </w:rPr>
  </w:style>
  <w:style w:type="character" w:customStyle="1" w:styleId="73">
    <w:name w:val="ControlFlowTok"/>
    <w:basedOn w:val="50"/>
    <w:uiPriority w:val="0"/>
    <w:rPr>
      <w:b/>
      <w:color w:val="007020"/>
    </w:rPr>
  </w:style>
  <w:style w:type="character" w:customStyle="1" w:styleId="74">
    <w:name w:val="OperatorTok"/>
    <w:basedOn w:val="50"/>
    <w:uiPriority w:val="0"/>
    <w:rPr>
      <w:color w:val="666666"/>
    </w:rPr>
  </w:style>
  <w:style w:type="character" w:customStyle="1" w:styleId="75">
    <w:name w:val="BuiltInTok"/>
    <w:basedOn w:val="50"/>
    <w:uiPriority w:val="0"/>
    <w:rPr>
      <w:color w:val="008000"/>
    </w:rPr>
  </w:style>
  <w:style w:type="character" w:customStyle="1" w:styleId="76">
    <w:name w:val="ExtensionTok"/>
    <w:basedOn w:val="50"/>
    <w:uiPriority w:val="0"/>
  </w:style>
  <w:style w:type="character" w:customStyle="1" w:styleId="77">
    <w:name w:val="PreprocessorTok"/>
    <w:basedOn w:val="50"/>
    <w:uiPriority w:val="0"/>
    <w:rPr>
      <w:color w:val="BC7A00"/>
    </w:rPr>
  </w:style>
  <w:style w:type="character" w:customStyle="1" w:styleId="78">
    <w:name w:val="AttributeTok"/>
    <w:basedOn w:val="50"/>
    <w:uiPriority w:val="0"/>
    <w:rPr>
      <w:color w:val="7D9029"/>
    </w:rPr>
  </w:style>
  <w:style w:type="character" w:customStyle="1" w:styleId="79">
    <w:name w:val="RegionMarkerTok"/>
    <w:basedOn w:val="50"/>
    <w:uiPriority w:val="0"/>
  </w:style>
  <w:style w:type="character" w:customStyle="1" w:styleId="80">
    <w:name w:val="InformationTok"/>
    <w:basedOn w:val="50"/>
    <w:uiPriority w:val="0"/>
    <w:rPr>
      <w:b/>
      <w:i/>
      <w:color w:val="60A0B0"/>
    </w:rPr>
  </w:style>
  <w:style w:type="character" w:customStyle="1" w:styleId="81">
    <w:name w:val="WarningTok"/>
    <w:basedOn w:val="50"/>
    <w:uiPriority w:val="0"/>
    <w:rPr>
      <w:b/>
      <w:i/>
      <w:color w:val="60A0B0"/>
    </w:rPr>
  </w:style>
  <w:style w:type="character" w:customStyle="1" w:styleId="82">
    <w:name w:val="AlertTok"/>
    <w:basedOn w:val="50"/>
    <w:uiPriority w:val="0"/>
    <w:rPr>
      <w:b/>
      <w:color w:val="FF0000"/>
    </w:rPr>
  </w:style>
  <w:style w:type="character" w:customStyle="1" w:styleId="83">
    <w:name w:val="ErrorTok"/>
    <w:basedOn w:val="50"/>
    <w:uiPriority w:val="0"/>
    <w:rPr>
      <w:b/>
      <w:color w:val="FF0000"/>
    </w:rPr>
  </w:style>
  <w:style w:type="character" w:customStyle="1" w:styleId="84">
    <w:name w:val="NormalTok"/>
    <w:basedOn w:val="5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Words>
  <Characters>371</Characters>
  <Lines>3</Lines>
  <Paragraphs>1</Paragraphs>
  <TotalTime>1</TotalTime>
  <ScaleCrop>false</ScaleCrop>
  <LinksUpToDate>false</LinksUpToDate>
  <CharactersWithSpaces>434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2025-11-04T02:19:00Z</dcterms:created>
  <dc:creator>Administrator</dc:creator>
  <cp:lastModifiedBy>Administrator</cp:lastModifiedBy>
  <dcterms:modified xsi:type="dcterms:W3CDTF">2025-11-04T02:22:17Z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 user-scalable=yes</vt:lpwstr>
  </property>
  <property fmtid="{D5CDD505-2E9C-101B-9397-08002B2CF9AE}" pid="3" name="KSOProductBuildVer">
    <vt:lpwstr>2052-11.8.2.10154</vt:lpwstr>
  </property>
</Properties>
</file>