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黄山市住房和城乡建设局</w:t>
      </w:r>
      <w:r>
        <w:rPr>
          <w:rFonts w:hint="eastAsia" w:ascii="方正小标宋简体" w:hAnsi="方正小标宋简体" w:eastAsia="方正小标宋简体" w:cs="方正小标宋简体"/>
          <w:b w:val="0"/>
          <w:bCs/>
          <w:sz w:val="44"/>
          <w:szCs w:val="44"/>
          <w:lang w:val="en-US" w:eastAsia="zh-CN"/>
        </w:rPr>
        <w:t>2026年度内部审计服务专项</w:t>
      </w:r>
      <w:r>
        <w:rPr>
          <w:rFonts w:hint="eastAsia" w:ascii="方正小标宋简体" w:hAnsi="方正小标宋简体" w:eastAsia="方正小标宋简体" w:cs="方正小标宋简体"/>
          <w:b w:val="0"/>
          <w:bCs/>
          <w:sz w:val="44"/>
          <w:szCs w:val="44"/>
          <w:lang w:eastAsia="zh-CN"/>
        </w:rPr>
        <w:t>采购项目竞争性谈判文件</w:t>
      </w:r>
    </w:p>
    <w:p>
      <w:pPr>
        <w:pStyle w:val="16"/>
        <w:rPr>
          <w:rFonts w:hint="eastAsia"/>
          <w:lang w:eastAsia="zh-CN"/>
        </w:rPr>
      </w:pPr>
    </w:p>
    <w:p>
      <w:pPr>
        <w:spacing w:line="360" w:lineRule="auto"/>
        <w:jc w:val="left"/>
        <w:outlineLvl w:val="0"/>
        <w:rPr>
          <w:rFonts w:hint="eastAsia" w:ascii="黑体" w:hAnsi="黑体" w:eastAsia="黑体" w:cs="黑体"/>
          <w:b w:val="0"/>
          <w:bCs/>
          <w:sz w:val="32"/>
          <w:szCs w:val="36"/>
        </w:rPr>
      </w:pPr>
      <w:r>
        <w:rPr>
          <w:rFonts w:hint="eastAsia" w:ascii="黑体" w:hAnsi="黑体" w:eastAsia="黑体" w:cs="黑体"/>
          <w:b w:val="0"/>
          <w:bCs/>
          <w:sz w:val="32"/>
          <w:szCs w:val="36"/>
        </w:rPr>
        <w:t>一、需求概况</w:t>
      </w:r>
    </w:p>
    <w:tbl>
      <w:tblPr>
        <w:tblStyle w:val="12"/>
        <w:tblW w:w="55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4"/>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31" w:type="pct"/>
            <w:shd w:val="clear" w:color="auto" w:fill="auto"/>
            <w:vAlign w:val="center"/>
          </w:tcPr>
          <w:p>
            <w:pPr>
              <w:jc w:val="center"/>
              <w:rPr>
                <w:rFonts w:ascii="宋体" w:hAnsi="宋体"/>
                <w:b/>
                <w:sz w:val="24"/>
              </w:rPr>
            </w:pPr>
            <w:r>
              <w:rPr>
                <w:rFonts w:hint="eastAsia" w:ascii="宋体" w:hAnsi="宋体"/>
                <w:b/>
                <w:sz w:val="24"/>
              </w:rPr>
              <w:t>项目名称</w:t>
            </w:r>
          </w:p>
        </w:tc>
        <w:tc>
          <w:tcPr>
            <w:tcW w:w="3768" w:type="pct"/>
            <w:shd w:val="clear" w:color="auto" w:fill="auto"/>
            <w:vAlign w:val="center"/>
          </w:tcPr>
          <w:p>
            <w:pPr>
              <w:autoSpaceDE w:val="0"/>
              <w:autoSpaceDN w:val="0"/>
              <w:adjustRightInd w:val="0"/>
              <w:jc w:val="left"/>
              <w:rPr>
                <w:rFonts w:ascii="宋体" w:hAnsi="宋体"/>
                <w:b/>
                <w:sz w:val="24"/>
              </w:rPr>
            </w:pPr>
            <w:r>
              <w:rPr>
                <w:rFonts w:hint="eastAsia" w:ascii="宋体" w:hAnsi="宋体"/>
                <w:sz w:val="24"/>
                <w:lang w:eastAsia="zh-CN"/>
              </w:rPr>
              <w:t>黄山市住房和城乡建设局</w:t>
            </w:r>
            <w:r>
              <w:rPr>
                <w:rFonts w:hint="eastAsia" w:ascii="宋体" w:hAnsi="宋体"/>
                <w:sz w:val="24"/>
                <w:lang w:val="en-US" w:eastAsia="zh-CN"/>
              </w:rPr>
              <w:t>2026年度内部审计服务专项</w:t>
            </w:r>
            <w:r>
              <w:rPr>
                <w:rFonts w:hint="eastAsia" w:ascii="宋体" w:hAnsi="宋体"/>
                <w:sz w:val="24"/>
                <w:lang w:eastAsia="zh-CN"/>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31" w:type="pct"/>
            <w:shd w:val="clear" w:color="auto" w:fill="auto"/>
            <w:vAlign w:val="center"/>
          </w:tcPr>
          <w:p>
            <w:pPr>
              <w:jc w:val="center"/>
              <w:rPr>
                <w:rFonts w:ascii="宋体" w:hAnsi="宋体"/>
                <w:b/>
                <w:sz w:val="24"/>
              </w:rPr>
            </w:pPr>
            <w:r>
              <w:rPr>
                <w:rFonts w:hint="eastAsia" w:ascii="宋体" w:hAnsi="宋体"/>
                <w:b/>
                <w:sz w:val="24"/>
              </w:rPr>
              <w:t>项目预算</w:t>
            </w:r>
          </w:p>
        </w:tc>
        <w:tc>
          <w:tcPr>
            <w:tcW w:w="3768" w:type="pct"/>
            <w:shd w:val="clear" w:color="auto" w:fill="auto"/>
            <w:vAlign w:val="center"/>
          </w:tcPr>
          <w:p>
            <w:pPr>
              <w:autoSpaceDE w:val="0"/>
              <w:autoSpaceDN w:val="0"/>
              <w:adjustRightInd w:val="0"/>
              <w:spacing w:line="360" w:lineRule="auto"/>
              <w:jc w:val="left"/>
              <w:rPr>
                <w:rFonts w:ascii="宋体" w:hAnsi="宋体"/>
                <w:b/>
                <w:sz w:val="24"/>
              </w:rPr>
            </w:pPr>
            <w:r>
              <w:rPr>
                <w:rFonts w:hint="eastAsia" w:ascii="宋体" w:hAnsi="宋体"/>
                <w:b/>
                <w:sz w:val="24"/>
                <w:lang w:val="en-US" w:eastAsia="zh-CN"/>
              </w:rPr>
              <w:t>10</w:t>
            </w:r>
            <w:r>
              <w:rPr>
                <w:rFonts w:hint="eastAsia" w:ascii="宋体" w:hAnsi="宋体"/>
                <w:b/>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31" w:type="pct"/>
            <w:shd w:val="clear" w:color="auto" w:fill="auto"/>
            <w:vAlign w:val="center"/>
          </w:tcPr>
          <w:p>
            <w:pPr>
              <w:jc w:val="center"/>
              <w:rPr>
                <w:rFonts w:hint="eastAsia" w:ascii="宋体" w:hAnsi="宋体" w:eastAsia="宋体"/>
                <w:b/>
                <w:sz w:val="24"/>
                <w:lang w:eastAsia="zh-CN"/>
              </w:rPr>
            </w:pPr>
            <w:r>
              <w:rPr>
                <w:rFonts w:hint="eastAsia" w:ascii="宋体" w:hAnsi="宋体"/>
                <w:b/>
                <w:sz w:val="24"/>
                <w:lang w:eastAsia="zh-CN"/>
              </w:rPr>
              <w:t>最高限价</w:t>
            </w:r>
          </w:p>
        </w:tc>
        <w:tc>
          <w:tcPr>
            <w:tcW w:w="3768" w:type="pct"/>
            <w:shd w:val="clear" w:color="auto" w:fill="auto"/>
            <w:vAlign w:val="center"/>
          </w:tcPr>
          <w:p>
            <w:pPr>
              <w:autoSpaceDE w:val="0"/>
              <w:autoSpaceDN w:val="0"/>
              <w:adjustRightInd w:val="0"/>
              <w:jc w:val="left"/>
              <w:rPr>
                <w:rFonts w:hint="default" w:ascii="宋体" w:hAnsi="宋体" w:eastAsia="宋体"/>
                <w:sz w:val="24"/>
                <w:lang w:val="en-US" w:eastAsia="zh-CN"/>
              </w:rPr>
            </w:pPr>
            <w:r>
              <w:rPr>
                <w:rFonts w:hint="eastAsia" w:ascii="宋体" w:hAnsi="宋体"/>
                <w:sz w:val="24"/>
                <w:lang w:val="en-US" w:eastAsia="zh-CN"/>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31" w:type="pct"/>
            <w:shd w:val="clear" w:color="auto" w:fill="auto"/>
            <w:vAlign w:val="center"/>
          </w:tcPr>
          <w:p>
            <w:pPr>
              <w:jc w:val="center"/>
              <w:rPr>
                <w:rFonts w:ascii="宋体" w:hAnsi="宋体"/>
                <w:b/>
                <w:sz w:val="24"/>
              </w:rPr>
            </w:pPr>
            <w:r>
              <w:rPr>
                <w:rFonts w:hint="eastAsia" w:ascii="宋体" w:hAnsi="宋体"/>
                <w:b/>
                <w:sz w:val="24"/>
              </w:rPr>
              <w:t>项目概况</w:t>
            </w:r>
          </w:p>
        </w:tc>
        <w:tc>
          <w:tcPr>
            <w:tcW w:w="3768" w:type="pct"/>
            <w:shd w:val="clear" w:color="auto" w:fill="auto"/>
            <w:vAlign w:val="center"/>
          </w:tcPr>
          <w:p>
            <w:pPr>
              <w:autoSpaceDE w:val="0"/>
              <w:autoSpaceDN w:val="0"/>
              <w:adjustRightInd w:val="0"/>
              <w:jc w:val="left"/>
              <w:rPr>
                <w:rFonts w:ascii="宋体" w:hAnsi="宋体"/>
                <w:b/>
                <w:sz w:val="24"/>
                <w:u w:val="single"/>
              </w:rPr>
            </w:pPr>
            <w:r>
              <w:rPr>
                <w:rFonts w:hint="eastAsia" w:ascii="宋体" w:hAnsi="宋体"/>
                <w:sz w:val="24"/>
                <w:lang w:eastAsia="zh-CN"/>
              </w:rPr>
              <w:t>具体</w:t>
            </w:r>
            <w:r>
              <w:rPr>
                <w:rFonts w:hint="eastAsia" w:ascii="宋体" w:hAnsi="宋体"/>
                <w:sz w:val="24"/>
              </w:rPr>
              <w:t>详见</w:t>
            </w:r>
            <w:r>
              <w:rPr>
                <w:rFonts w:hint="eastAsia" w:ascii="宋体" w:hAnsi="宋体"/>
                <w:sz w:val="24"/>
                <w:lang w:eastAsia="zh-CN"/>
              </w:rPr>
              <w:t>采购</w:t>
            </w:r>
            <w:r>
              <w:rPr>
                <w:rFonts w:hint="eastAsia" w:ascii="宋体" w:hAnsi="宋体"/>
                <w:sz w:val="24"/>
              </w:rPr>
              <w:t>需求</w:t>
            </w:r>
            <w:r>
              <w:rPr>
                <w:rFonts w:hint="eastAsia" w:ascii="宋体" w:hAnsi="宋体"/>
                <w:sz w:val="24"/>
                <w:lang w:eastAsia="zh-CN"/>
              </w:rPr>
              <w:t>清单</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31" w:type="pct"/>
            <w:shd w:val="clear" w:color="auto" w:fill="auto"/>
            <w:vAlign w:val="center"/>
          </w:tcPr>
          <w:p>
            <w:pPr>
              <w:jc w:val="center"/>
              <w:rPr>
                <w:rFonts w:ascii="宋体" w:hAnsi="宋体"/>
                <w:b/>
                <w:sz w:val="24"/>
              </w:rPr>
            </w:pPr>
            <w:r>
              <w:rPr>
                <w:rFonts w:hint="eastAsia" w:ascii="宋体" w:hAnsi="宋体"/>
                <w:b/>
                <w:sz w:val="24"/>
              </w:rPr>
              <w:t>项目是否分包</w:t>
            </w:r>
          </w:p>
          <w:p>
            <w:pPr>
              <w:jc w:val="center"/>
              <w:rPr>
                <w:rFonts w:ascii="宋体" w:hAnsi="宋体"/>
                <w:b/>
                <w:sz w:val="24"/>
              </w:rPr>
            </w:pPr>
            <w:r>
              <w:rPr>
                <w:rFonts w:hint="eastAsia" w:ascii="宋体" w:hAnsi="宋体"/>
                <w:b/>
                <w:sz w:val="24"/>
              </w:rPr>
              <w:t>分包预算</w:t>
            </w:r>
          </w:p>
        </w:tc>
        <w:tc>
          <w:tcPr>
            <w:tcW w:w="3768" w:type="pct"/>
            <w:shd w:val="clear" w:color="auto" w:fill="auto"/>
            <w:vAlign w:val="center"/>
          </w:tcPr>
          <w:p>
            <w:pPr>
              <w:autoSpaceDE w:val="0"/>
              <w:autoSpaceDN w:val="0"/>
              <w:adjustRightInd w:val="0"/>
              <w:rPr>
                <w:rFonts w:ascii="宋体" w:hAnsi="宋体"/>
                <w:b/>
                <w:sz w:val="24"/>
              </w:rPr>
            </w:pPr>
            <w:r>
              <w:rPr>
                <w:rFonts w:hint="eastAsia" w:ascii="宋体" w:hAnsi="宋体"/>
                <w:b/>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231" w:type="pct"/>
            <w:shd w:val="clear" w:color="auto" w:fill="auto"/>
            <w:vAlign w:val="center"/>
          </w:tcPr>
          <w:p>
            <w:pPr>
              <w:jc w:val="center"/>
              <w:rPr>
                <w:rFonts w:ascii="宋体" w:hAnsi="宋体"/>
                <w:b/>
                <w:sz w:val="24"/>
              </w:rPr>
            </w:pPr>
            <w:r>
              <w:rPr>
                <w:rFonts w:hint="eastAsia" w:ascii="宋体" w:hAnsi="宋体"/>
                <w:b/>
                <w:sz w:val="24"/>
              </w:rPr>
              <w:t>投标人资格要求</w:t>
            </w:r>
          </w:p>
        </w:tc>
        <w:tc>
          <w:tcPr>
            <w:tcW w:w="3768" w:type="pct"/>
            <w:shd w:val="clear" w:color="auto" w:fill="auto"/>
            <w:vAlign w:val="center"/>
          </w:tcPr>
          <w:p>
            <w:pPr>
              <w:autoSpaceDE w:val="0"/>
              <w:autoSpaceDN w:val="0"/>
              <w:adjustRightInd w:val="0"/>
              <w:spacing w:line="360" w:lineRule="auto"/>
              <w:jc w:val="left"/>
              <w:rPr>
                <w:rFonts w:ascii="宋体" w:hAnsi="宋体"/>
                <w:sz w:val="24"/>
              </w:rPr>
            </w:pPr>
            <w:r>
              <w:rPr>
                <w:rFonts w:hint="eastAsia" w:ascii="宋体" w:hAnsi="宋体"/>
                <w:sz w:val="24"/>
              </w:rPr>
              <w:t>1</w:t>
            </w:r>
            <w:r>
              <w:rPr>
                <w:rFonts w:hint="eastAsia" w:ascii="宋体" w:hAnsi="宋体"/>
                <w:sz w:val="24"/>
                <w:lang w:eastAsia="zh-CN"/>
              </w:rPr>
              <w:t>.</w:t>
            </w:r>
            <w:r>
              <w:rPr>
                <w:rFonts w:hint="eastAsia" w:ascii="宋体" w:hAnsi="宋体"/>
                <w:sz w:val="24"/>
              </w:rPr>
              <w:t>符合《中华人民共和国政府采购法》第二十二条规定；</w:t>
            </w:r>
          </w:p>
          <w:p>
            <w:pPr>
              <w:autoSpaceDE w:val="0"/>
              <w:autoSpaceDN w:val="0"/>
              <w:adjustRightInd w:val="0"/>
              <w:spacing w:line="360" w:lineRule="auto"/>
              <w:jc w:val="left"/>
              <w:rPr>
                <w:rFonts w:ascii="宋体" w:hAnsi="宋体"/>
                <w:sz w:val="24"/>
              </w:rPr>
            </w:pPr>
            <w:r>
              <w:rPr>
                <w:rFonts w:hint="eastAsia" w:ascii="宋体" w:hAnsi="宋体"/>
                <w:sz w:val="24"/>
              </w:rPr>
              <w:t>2</w:t>
            </w:r>
            <w:r>
              <w:rPr>
                <w:rFonts w:hint="eastAsia" w:ascii="宋体" w:hAnsi="宋体"/>
                <w:sz w:val="24"/>
                <w:lang w:eastAsia="zh-CN"/>
              </w:rPr>
              <w:t>.</w:t>
            </w:r>
            <w:r>
              <w:rPr>
                <w:rFonts w:hint="eastAsia" w:ascii="宋体" w:hAnsi="宋体"/>
                <w:sz w:val="24"/>
              </w:rPr>
              <w:t>本项目不接受联合体投标；</w:t>
            </w:r>
          </w:p>
          <w:p>
            <w:pPr>
              <w:autoSpaceDE w:val="0"/>
              <w:autoSpaceDN w:val="0"/>
              <w:adjustRightInd w:val="0"/>
              <w:spacing w:line="360" w:lineRule="auto"/>
              <w:jc w:val="left"/>
              <w:rPr>
                <w:rFonts w:ascii="宋体" w:hAnsi="宋体"/>
                <w:sz w:val="24"/>
              </w:rPr>
            </w:pPr>
            <w:r>
              <w:rPr>
                <w:rFonts w:hint="eastAsia" w:ascii="宋体" w:hAnsi="宋体"/>
                <w:sz w:val="24"/>
              </w:rPr>
              <w:t>3</w:t>
            </w:r>
            <w:r>
              <w:rPr>
                <w:rFonts w:hint="eastAsia" w:ascii="宋体" w:hAnsi="宋体"/>
                <w:sz w:val="24"/>
                <w:lang w:eastAsia="zh-CN"/>
              </w:rPr>
              <w:t>.</w:t>
            </w:r>
            <w:r>
              <w:rPr>
                <w:rFonts w:hint="eastAsia" w:ascii="宋体" w:hAnsi="宋体"/>
                <w:sz w:val="24"/>
              </w:rPr>
              <w:t>供应商存在以下不良信用记录情形之一的，不得推荐为中标候选供应商，不得确定为中标供应商：</w:t>
            </w:r>
          </w:p>
          <w:p>
            <w:pPr>
              <w:autoSpaceDE w:val="0"/>
              <w:autoSpaceDN w:val="0"/>
              <w:adjustRightInd w:val="0"/>
              <w:spacing w:line="360" w:lineRule="auto"/>
              <w:jc w:val="left"/>
              <w:rPr>
                <w:rFonts w:ascii="宋体" w:hAnsi="宋体"/>
                <w:sz w:val="24"/>
              </w:rPr>
            </w:pPr>
            <w:r>
              <w:rPr>
                <w:rFonts w:hint="eastAsia" w:ascii="宋体" w:hAnsi="宋体"/>
                <w:sz w:val="24"/>
              </w:rPr>
              <w:t>（1）供应商被人民法院列入失信被执行人的；</w:t>
            </w:r>
          </w:p>
          <w:p>
            <w:pPr>
              <w:autoSpaceDE w:val="0"/>
              <w:autoSpaceDN w:val="0"/>
              <w:adjustRightInd w:val="0"/>
              <w:spacing w:line="360" w:lineRule="auto"/>
              <w:jc w:val="left"/>
              <w:rPr>
                <w:rFonts w:ascii="宋体" w:hAnsi="宋体"/>
                <w:sz w:val="24"/>
              </w:rPr>
            </w:pPr>
            <w:r>
              <w:rPr>
                <w:rFonts w:hint="eastAsia" w:ascii="宋体" w:hAnsi="宋体"/>
                <w:sz w:val="24"/>
              </w:rPr>
              <w:t>（2）供应商或其法定代表人或拟派项目经理（项目负责人）被人民检察院列入行贿犯罪档案的；</w:t>
            </w:r>
          </w:p>
          <w:p>
            <w:pPr>
              <w:autoSpaceDE w:val="0"/>
              <w:autoSpaceDN w:val="0"/>
              <w:adjustRightInd w:val="0"/>
              <w:spacing w:line="360" w:lineRule="auto"/>
              <w:jc w:val="left"/>
              <w:rPr>
                <w:rFonts w:ascii="宋体" w:hAnsi="宋体"/>
                <w:sz w:val="24"/>
              </w:rPr>
            </w:pPr>
            <w:r>
              <w:rPr>
                <w:rFonts w:hint="eastAsia" w:ascii="宋体" w:hAnsi="宋体"/>
                <w:sz w:val="24"/>
              </w:rPr>
              <w:t>（3）供应商被工商行政管理部门列入企业经营异常名录的；</w:t>
            </w:r>
          </w:p>
          <w:p>
            <w:pPr>
              <w:autoSpaceDE w:val="0"/>
              <w:autoSpaceDN w:val="0"/>
              <w:adjustRightInd w:val="0"/>
              <w:spacing w:line="360" w:lineRule="auto"/>
              <w:jc w:val="left"/>
              <w:rPr>
                <w:rFonts w:ascii="宋体" w:hAnsi="宋体"/>
                <w:sz w:val="24"/>
              </w:rPr>
            </w:pPr>
            <w:r>
              <w:rPr>
                <w:rFonts w:hint="eastAsia" w:ascii="宋体" w:hAnsi="宋体"/>
                <w:sz w:val="24"/>
              </w:rPr>
              <w:t>（4）供应商被税务部门列入重大税收违法案件当事人名单的；</w:t>
            </w:r>
          </w:p>
          <w:p>
            <w:pPr>
              <w:autoSpaceDE w:val="0"/>
              <w:autoSpaceDN w:val="0"/>
              <w:adjustRightInd w:val="0"/>
              <w:spacing w:line="360" w:lineRule="auto"/>
              <w:jc w:val="left"/>
              <w:rPr>
                <w:rFonts w:hint="eastAsia" w:ascii="宋体" w:hAnsi="宋体"/>
                <w:sz w:val="24"/>
              </w:rPr>
            </w:pPr>
            <w:r>
              <w:rPr>
                <w:rFonts w:hint="eastAsia" w:ascii="宋体" w:hAnsi="宋体"/>
                <w:sz w:val="24"/>
              </w:rPr>
              <w:t>（5）供应商被政府采购监管部门列入政府采购严重违法失信行为记录名单的。</w:t>
            </w:r>
          </w:p>
          <w:p>
            <w:pPr>
              <w:autoSpaceDE w:val="0"/>
              <w:autoSpaceDN w:val="0"/>
              <w:adjustRightInd w:val="0"/>
              <w:spacing w:line="360" w:lineRule="auto"/>
              <w:jc w:val="left"/>
              <w:rPr>
                <w:rFonts w:hint="eastAsia" w:ascii="宋体" w:hAnsi="宋体"/>
                <w:sz w:val="24"/>
              </w:rPr>
            </w:pPr>
            <w:r>
              <w:rPr>
                <w:rFonts w:hint="eastAsia" w:ascii="宋体" w:hAnsi="宋体"/>
                <w:sz w:val="24"/>
                <w:lang w:val="en-US" w:eastAsia="zh-CN"/>
              </w:rPr>
              <w:t>4.本项目的特定资格要求：具有会计师事务所执业证书，近三年承揽过两个以上类似项目。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31" w:type="pct"/>
            <w:shd w:val="clear" w:color="auto" w:fill="auto"/>
            <w:vAlign w:val="center"/>
          </w:tcPr>
          <w:p>
            <w:pPr>
              <w:jc w:val="center"/>
              <w:rPr>
                <w:rFonts w:ascii="宋体" w:hAnsi="宋体"/>
                <w:b/>
                <w:sz w:val="24"/>
              </w:rPr>
            </w:pPr>
            <w:r>
              <w:rPr>
                <w:rFonts w:hint="eastAsia" w:ascii="宋体" w:hAnsi="宋体"/>
                <w:b/>
                <w:sz w:val="24"/>
              </w:rPr>
              <w:t>付款方式</w:t>
            </w:r>
          </w:p>
        </w:tc>
        <w:tc>
          <w:tcPr>
            <w:tcW w:w="3768" w:type="pct"/>
            <w:shd w:val="clear" w:color="auto" w:fill="auto"/>
            <w:vAlign w:val="center"/>
          </w:tcPr>
          <w:p>
            <w:pPr>
              <w:autoSpaceDE w:val="0"/>
              <w:autoSpaceDN w:val="0"/>
              <w:adjustRightInd w:val="0"/>
              <w:spacing w:line="360" w:lineRule="auto"/>
              <w:jc w:val="left"/>
              <w:rPr>
                <w:rFonts w:hint="eastAsia" w:ascii="宋体" w:hAnsi="宋体" w:eastAsia="宋体"/>
                <w:sz w:val="24"/>
                <w:lang w:eastAsia="zh-CN"/>
              </w:rPr>
            </w:pPr>
            <w:r>
              <w:rPr>
                <w:rFonts w:hint="eastAsia" w:ascii="宋体" w:hAnsi="宋体"/>
                <w:sz w:val="24"/>
                <w:lang w:eastAsia="zh-CN"/>
              </w:rPr>
              <w:t>完成当年度所有审计项目，出具审计报告并经审核确定后，由各被审计单位支付审计费用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31" w:type="pct"/>
            <w:shd w:val="clear" w:color="auto" w:fill="auto"/>
            <w:vAlign w:val="center"/>
          </w:tcPr>
          <w:p>
            <w:pPr>
              <w:jc w:val="center"/>
              <w:rPr>
                <w:rFonts w:ascii="宋体" w:hAnsi="宋体"/>
                <w:b/>
                <w:sz w:val="24"/>
              </w:rPr>
            </w:pPr>
            <w:r>
              <w:rPr>
                <w:rFonts w:hint="eastAsia" w:ascii="宋体" w:hAnsi="宋体"/>
                <w:b/>
                <w:sz w:val="24"/>
              </w:rPr>
              <w:t>服务地点</w:t>
            </w:r>
          </w:p>
        </w:tc>
        <w:tc>
          <w:tcPr>
            <w:tcW w:w="3768" w:type="pct"/>
            <w:shd w:val="clear" w:color="auto" w:fill="auto"/>
            <w:vAlign w:val="center"/>
          </w:tcPr>
          <w:p>
            <w:pPr>
              <w:autoSpaceDE w:val="0"/>
              <w:autoSpaceDN w:val="0"/>
              <w:adjustRightInd w:val="0"/>
              <w:spacing w:line="360" w:lineRule="auto"/>
              <w:jc w:val="left"/>
              <w:rPr>
                <w:rFonts w:hint="default" w:ascii="宋体" w:hAnsi="宋体" w:eastAsia="宋体"/>
                <w:sz w:val="24"/>
                <w:szCs w:val="18"/>
                <w:lang w:val="en-US" w:eastAsia="zh-CN"/>
              </w:rPr>
            </w:pPr>
            <w:r>
              <w:rPr>
                <w:rFonts w:hint="eastAsia" w:ascii="宋体" w:hAnsi="宋体"/>
                <w:sz w:val="24"/>
                <w:szCs w:val="18"/>
                <w:lang w:val="en-US" w:eastAsia="zh-CN"/>
              </w:rPr>
              <w:t>黄山市屯溪区黄山东路93号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31" w:type="pct"/>
            <w:shd w:val="clear" w:color="auto" w:fill="auto"/>
            <w:vAlign w:val="center"/>
          </w:tcPr>
          <w:p>
            <w:pPr>
              <w:jc w:val="center"/>
              <w:rPr>
                <w:rFonts w:ascii="宋体" w:hAnsi="宋体"/>
                <w:b/>
                <w:sz w:val="24"/>
              </w:rPr>
            </w:pPr>
            <w:r>
              <w:rPr>
                <w:rFonts w:hint="eastAsia" w:ascii="宋体" w:hAnsi="宋体"/>
                <w:b/>
                <w:sz w:val="24"/>
              </w:rPr>
              <w:t>拟采用的评标办法</w:t>
            </w:r>
          </w:p>
        </w:tc>
        <w:tc>
          <w:tcPr>
            <w:tcW w:w="3768" w:type="pct"/>
            <w:shd w:val="clear" w:color="auto" w:fill="auto"/>
            <w:vAlign w:val="center"/>
          </w:tcPr>
          <w:p>
            <w:pPr>
              <w:autoSpaceDE w:val="0"/>
              <w:autoSpaceDN w:val="0"/>
              <w:adjustRightInd w:val="0"/>
              <w:spacing w:line="360" w:lineRule="auto"/>
              <w:jc w:val="left"/>
              <w:rPr>
                <w:rFonts w:hint="eastAsia" w:ascii="宋体" w:hAnsi="宋体" w:eastAsia="宋体"/>
                <w:b/>
                <w:sz w:val="24"/>
                <w:szCs w:val="18"/>
                <w:lang w:eastAsia="zh-CN"/>
              </w:rPr>
            </w:pPr>
            <w:r>
              <w:rPr>
                <w:rFonts w:hint="eastAsia" w:ascii="宋体" w:hAnsi="宋体"/>
                <w:sz w:val="24"/>
                <w:szCs w:val="18"/>
                <w:lang w:eastAsia="zh-CN"/>
              </w:rPr>
              <w:t>竞争性谈判（最低价法）</w:t>
            </w:r>
          </w:p>
        </w:tc>
      </w:tr>
    </w:tbl>
    <w:p>
      <w:pPr>
        <w:spacing w:line="360" w:lineRule="auto"/>
        <w:jc w:val="left"/>
        <w:outlineLvl w:val="0"/>
        <w:rPr>
          <w:rFonts w:hint="eastAsia" w:ascii="宋体" w:hAnsi="宋体"/>
          <w:b/>
          <w:sz w:val="24"/>
          <w:szCs w:val="28"/>
        </w:rPr>
      </w:pPr>
    </w:p>
    <w:p>
      <w:pPr>
        <w:numPr>
          <w:ilvl w:val="0"/>
          <w:numId w:val="0"/>
        </w:numPr>
        <w:spacing w:line="360" w:lineRule="auto"/>
        <w:jc w:val="left"/>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二、采购</w:t>
      </w:r>
      <w:r>
        <w:rPr>
          <w:rFonts w:hint="eastAsia" w:ascii="黑体" w:hAnsi="黑体" w:eastAsia="黑体" w:cs="黑体"/>
          <w:b w:val="0"/>
          <w:bCs/>
          <w:sz w:val="32"/>
          <w:szCs w:val="32"/>
        </w:rPr>
        <w:t>需求</w:t>
      </w:r>
      <w:r>
        <w:rPr>
          <w:rFonts w:hint="eastAsia" w:ascii="黑体" w:hAnsi="黑体" w:eastAsia="黑体" w:cs="黑体"/>
          <w:b w:val="0"/>
          <w:bCs/>
          <w:sz w:val="32"/>
          <w:szCs w:val="32"/>
          <w:lang w:eastAsia="zh-CN"/>
        </w:rPr>
        <w:t>清单</w:t>
      </w:r>
    </w:p>
    <w:p>
      <w:pPr>
        <w:numPr>
          <w:ilvl w:val="0"/>
          <w:numId w:val="0"/>
        </w:numPr>
        <w:spacing w:line="360" w:lineRule="auto"/>
        <w:ind w:firstLine="321" w:firstLineChars="100"/>
        <w:jc w:val="left"/>
        <w:outlineLvl w:val="0"/>
        <w:rPr>
          <w:rFonts w:hint="default" w:ascii="Times New Roman" w:hAnsi="Times New Roman" w:eastAsia="仿宋_GB2312" w:cs="Times New Roman"/>
          <w:b w:val="0"/>
          <w:bCs/>
          <w:sz w:val="32"/>
          <w:szCs w:val="32"/>
          <w:lang w:eastAsia="zh-CN"/>
        </w:rPr>
      </w:pPr>
      <w:r>
        <w:rPr>
          <w:rFonts w:hint="eastAsia" w:ascii="楷体" w:hAnsi="楷体" w:eastAsia="楷体" w:cs="楷体"/>
          <w:b/>
          <w:bCs w:val="0"/>
          <w:kern w:val="2"/>
          <w:sz w:val="32"/>
          <w:szCs w:val="32"/>
          <w:lang w:val="en-US" w:eastAsia="zh-CN" w:bidi="ar-SA"/>
        </w:rPr>
        <w:t>（一）</w:t>
      </w:r>
      <w:r>
        <w:rPr>
          <w:rFonts w:hint="eastAsia" w:ascii="楷体" w:hAnsi="楷体" w:eastAsia="楷体" w:cs="楷体"/>
          <w:b/>
          <w:bCs w:val="0"/>
          <w:sz w:val="32"/>
          <w:szCs w:val="32"/>
          <w:lang w:eastAsia="zh-CN"/>
        </w:rPr>
        <w:t>采购服务一览表</w:t>
      </w:r>
    </w:p>
    <w:tbl>
      <w:tblPr>
        <w:tblStyle w:val="12"/>
        <w:tblW w:w="9179"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6"/>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256" w:type="dxa"/>
            <w:noWrap w:val="0"/>
            <w:vAlign w:val="top"/>
          </w:tcPr>
          <w:p>
            <w:pPr>
              <w:jc w:val="center"/>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项  目</w:t>
            </w:r>
          </w:p>
        </w:tc>
        <w:tc>
          <w:tcPr>
            <w:tcW w:w="2923" w:type="dxa"/>
            <w:noWrap w:val="0"/>
            <w:vAlign w:val="top"/>
          </w:tcPr>
          <w:p>
            <w:pPr>
              <w:ind w:firstLine="720" w:firstLineChars="300"/>
              <w:jc w:val="both"/>
              <w:rPr>
                <w:rFonts w:hint="default" w:ascii="Times New Roman" w:hAnsi="Times New Roman" w:eastAsia="仿宋_GB2312" w:cs="Times New Roman"/>
                <w:color w:val="auto"/>
                <w:spacing w:val="-20"/>
                <w:sz w:val="28"/>
                <w:szCs w:val="28"/>
                <w:lang w:eastAsia="zh-CN"/>
              </w:rPr>
            </w:pPr>
            <w:r>
              <w:rPr>
                <w:rFonts w:hint="default" w:ascii="Times New Roman" w:hAnsi="Times New Roman" w:eastAsia="仿宋_GB2312" w:cs="Times New Roman"/>
                <w:color w:val="auto"/>
                <w:spacing w:val="-20"/>
                <w:sz w:val="28"/>
                <w:szCs w:val="28"/>
                <w:lang w:eastAsia="zh-CN"/>
              </w:rPr>
              <w:t>预算价（元）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pacing w:val="-20"/>
                <w:sz w:val="28"/>
                <w:szCs w:val="28"/>
                <w:lang w:val="en-US" w:eastAsia="zh-CN"/>
              </w:rPr>
            </w:pPr>
            <w:r>
              <w:rPr>
                <w:rFonts w:hint="default" w:ascii="Times New Roman" w:hAnsi="Times New Roman" w:eastAsia="仿宋_GB2312" w:cs="Times New Roman"/>
                <w:color w:val="auto"/>
                <w:spacing w:val="-20"/>
                <w:sz w:val="28"/>
                <w:szCs w:val="28"/>
                <w:lang w:eastAsia="zh-CN"/>
              </w:rPr>
              <w:t>市</w:t>
            </w:r>
            <w:r>
              <w:rPr>
                <w:rFonts w:hint="default" w:ascii="Times New Roman" w:hAnsi="Times New Roman" w:eastAsia="仿宋_GB2312" w:cs="Times New Roman"/>
                <w:color w:val="auto"/>
                <w:spacing w:val="-20"/>
                <w:sz w:val="28"/>
                <w:szCs w:val="28"/>
                <w:lang w:val="en-US" w:eastAsia="zh-CN"/>
              </w:rPr>
              <w:t>质监站</w:t>
            </w:r>
            <w:r>
              <w:rPr>
                <w:rFonts w:hint="default" w:ascii="Times New Roman" w:hAnsi="Times New Roman" w:eastAsia="仿宋_GB2312" w:cs="Times New Roman"/>
                <w:color w:val="auto"/>
                <w:spacing w:val="-20"/>
                <w:sz w:val="28"/>
                <w:szCs w:val="28"/>
                <w:lang w:eastAsia="zh-CN"/>
              </w:rPr>
              <w:t>任期经济责任审计，审计时间为</w:t>
            </w:r>
            <w:r>
              <w:rPr>
                <w:rFonts w:hint="eastAsia" w:eastAsia="仿宋_GB2312" w:cs="Times New Roman"/>
                <w:color w:val="auto"/>
                <w:spacing w:val="0"/>
                <w:sz w:val="28"/>
                <w:szCs w:val="28"/>
                <w:lang w:val="en-US" w:eastAsia="zh-CN"/>
              </w:rPr>
              <w:t>2023</w:t>
            </w:r>
            <w:r>
              <w:rPr>
                <w:rFonts w:hint="default" w:ascii="Times New Roman" w:hAnsi="Times New Roman" w:eastAsia="仿宋_GB2312" w:cs="Times New Roman"/>
                <w:color w:val="auto"/>
                <w:spacing w:val="-20"/>
                <w:sz w:val="28"/>
                <w:szCs w:val="28"/>
                <w:lang w:val="en-US" w:eastAsia="zh-CN"/>
              </w:rPr>
              <w:t>年1月-2025年12月</w:t>
            </w:r>
          </w:p>
        </w:tc>
        <w:tc>
          <w:tcPr>
            <w:tcW w:w="2923" w:type="dxa"/>
            <w:noWrap w:val="0"/>
            <w:vAlign w:val="center"/>
          </w:tcPr>
          <w:p>
            <w:pPr>
              <w:jc w:val="center"/>
              <w:rPr>
                <w:rFonts w:hint="default" w:ascii="Times New Roman" w:hAnsi="Times New Roman" w:eastAsia="仿宋_GB2312" w:cs="Times New Roman"/>
                <w:color w:val="auto"/>
                <w:spacing w:val="-20"/>
                <w:sz w:val="28"/>
                <w:szCs w:val="28"/>
                <w:highlight w:val="none"/>
                <w:lang w:val="en-US" w:eastAsia="zh-CN"/>
              </w:rPr>
            </w:pPr>
            <w:r>
              <w:rPr>
                <w:rFonts w:hint="eastAsia" w:eastAsia="仿宋_GB2312" w:cs="Times New Roman"/>
                <w:color w:val="auto"/>
                <w:spacing w:val="-20"/>
                <w:sz w:val="28"/>
                <w:szCs w:val="28"/>
                <w:highlight w:val="none"/>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2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pacing w:val="-20"/>
                <w:sz w:val="28"/>
                <w:szCs w:val="28"/>
                <w:lang w:val="en-US" w:eastAsia="zh-CN"/>
              </w:rPr>
            </w:pPr>
            <w:r>
              <w:rPr>
                <w:rFonts w:hint="default" w:ascii="Times New Roman" w:hAnsi="Times New Roman" w:eastAsia="仿宋_GB2312" w:cs="Times New Roman"/>
                <w:color w:val="auto"/>
                <w:spacing w:val="-20"/>
                <w:sz w:val="28"/>
                <w:szCs w:val="28"/>
                <w:lang w:val="en-US" w:eastAsia="zh-CN"/>
              </w:rPr>
              <w:t>市住房租赁保障管理中心</w:t>
            </w:r>
            <w:r>
              <w:rPr>
                <w:rFonts w:hint="default" w:ascii="Times New Roman" w:hAnsi="Times New Roman" w:eastAsia="仿宋_GB2312" w:cs="Times New Roman"/>
                <w:color w:val="auto"/>
                <w:spacing w:val="-20"/>
                <w:sz w:val="28"/>
                <w:szCs w:val="28"/>
                <w:lang w:eastAsia="zh-CN"/>
              </w:rPr>
              <w:t>任期经济责任审计，审计时间为</w:t>
            </w:r>
            <w:r>
              <w:rPr>
                <w:rFonts w:hint="default" w:ascii="Times New Roman" w:hAnsi="Times New Roman" w:eastAsia="仿宋_GB2312" w:cs="Times New Roman"/>
                <w:color w:val="auto"/>
                <w:spacing w:val="-20"/>
                <w:sz w:val="28"/>
                <w:szCs w:val="28"/>
                <w:lang w:val="en-US" w:eastAsia="zh-CN"/>
              </w:rPr>
              <w:t>2023年1月-2025年12月</w:t>
            </w:r>
          </w:p>
        </w:tc>
        <w:tc>
          <w:tcPr>
            <w:tcW w:w="2923" w:type="dxa"/>
            <w:noWrap w:val="0"/>
            <w:vAlign w:val="center"/>
          </w:tcPr>
          <w:p>
            <w:pPr>
              <w:jc w:val="center"/>
              <w:rPr>
                <w:rFonts w:hint="default" w:ascii="Times New Roman" w:hAnsi="Times New Roman" w:eastAsia="仿宋_GB2312" w:cs="Times New Roman"/>
                <w:color w:val="auto"/>
                <w:spacing w:val="-20"/>
                <w:sz w:val="28"/>
                <w:szCs w:val="28"/>
                <w:lang w:val="en-US" w:eastAsia="zh-CN"/>
              </w:rPr>
            </w:pPr>
            <w:r>
              <w:rPr>
                <w:rFonts w:hint="eastAsia" w:eastAsia="仿宋_GB2312" w:cs="Times New Roman"/>
                <w:color w:val="auto"/>
                <w:spacing w:val="-20"/>
                <w:sz w:val="28"/>
                <w:szCs w:val="28"/>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2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pacing w:val="-20"/>
                <w:sz w:val="28"/>
                <w:szCs w:val="28"/>
                <w:lang w:eastAsia="zh-CN"/>
              </w:rPr>
            </w:pPr>
            <w:r>
              <w:rPr>
                <w:rFonts w:hint="default" w:ascii="Times New Roman" w:hAnsi="Times New Roman" w:eastAsia="仿宋_GB2312" w:cs="Times New Roman"/>
                <w:color w:val="auto"/>
                <w:spacing w:val="-20"/>
                <w:sz w:val="28"/>
                <w:szCs w:val="28"/>
                <w:lang w:val="en-US" w:eastAsia="zh-CN"/>
              </w:rPr>
              <w:t>市物管处</w:t>
            </w:r>
            <w:r>
              <w:rPr>
                <w:rFonts w:hint="default" w:ascii="Times New Roman" w:hAnsi="Times New Roman" w:eastAsia="仿宋_GB2312" w:cs="Times New Roman"/>
                <w:color w:val="auto"/>
                <w:spacing w:val="-20"/>
                <w:sz w:val="28"/>
                <w:szCs w:val="28"/>
                <w:lang w:eastAsia="zh-CN"/>
              </w:rPr>
              <w:t>任期经济责任审计，审计时间为</w:t>
            </w:r>
            <w:r>
              <w:rPr>
                <w:rFonts w:hint="default" w:eastAsia="仿宋_GB2312" w:cs="Times New Roman"/>
                <w:color w:val="auto"/>
                <w:spacing w:val="0"/>
                <w:sz w:val="28"/>
                <w:szCs w:val="28"/>
                <w:lang w:val="en-US" w:eastAsia="zh-CN"/>
              </w:rPr>
              <w:t>2023</w:t>
            </w:r>
            <w:r>
              <w:rPr>
                <w:rFonts w:hint="default" w:ascii="Times New Roman" w:hAnsi="Times New Roman" w:eastAsia="仿宋_GB2312" w:cs="Times New Roman"/>
                <w:color w:val="auto"/>
                <w:spacing w:val="-20"/>
                <w:sz w:val="28"/>
                <w:szCs w:val="28"/>
                <w:lang w:val="en-US" w:eastAsia="zh-CN"/>
              </w:rPr>
              <w:t>年1月-2025年12月</w:t>
            </w:r>
          </w:p>
        </w:tc>
        <w:tc>
          <w:tcPr>
            <w:tcW w:w="2923" w:type="dxa"/>
            <w:noWrap w:val="0"/>
            <w:vAlign w:val="center"/>
          </w:tcPr>
          <w:p>
            <w:pPr>
              <w:jc w:val="center"/>
              <w:rPr>
                <w:rFonts w:hint="default" w:ascii="Times New Roman" w:hAnsi="Times New Roman" w:eastAsia="仿宋_GB2312" w:cs="Times New Roman"/>
                <w:color w:val="auto"/>
                <w:spacing w:val="-20"/>
                <w:sz w:val="28"/>
                <w:szCs w:val="28"/>
                <w:lang w:val="en-US" w:eastAsia="zh-CN"/>
              </w:rPr>
            </w:pPr>
            <w:r>
              <w:rPr>
                <w:rFonts w:hint="eastAsia" w:eastAsia="仿宋_GB2312" w:cs="Times New Roman"/>
                <w:color w:val="auto"/>
                <w:spacing w:val="-20"/>
                <w:sz w:val="28"/>
                <w:szCs w:val="28"/>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2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pacing w:val="-20"/>
                <w:sz w:val="28"/>
                <w:szCs w:val="28"/>
                <w:lang w:eastAsia="zh-CN"/>
              </w:rPr>
            </w:pPr>
            <w:r>
              <w:rPr>
                <w:rFonts w:hint="default" w:ascii="Times New Roman" w:hAnsi="Times New Roman" w:eastAsia="仿宋_GB2312" w:cs="Times New Roman"/>
                <w:color w:val="auto"/>
                <w:spacing w:val="-20"/>
                <w:sz w:val="28"/>
                <w:szCs w:val="28"/>
                <w:lang w:val="en-US" w:eastAsia="zh-CN"/>
              </w:rPr>
              <w:t>市控违拆违管理中心离任</w:t>
            </w:r>
            <w:r>
              <w:rPr>
                <w:rFonts w:hint="default" w:ascii="Times New Roman" w:hAnsi="Times New Roman" w:eastAsia="仿宋_GB2312" w:cs="Times New Roman"/>
                <w:color w:val="auto"/>
                <w:spacing w:val="-20"/>
                <w:sz w:val="28"/>
                <w:szCs w:val="28"/>
                <w:lang w:eastAsia="zh-CN"/>
              </w:rPr>
              <w:t>经济责任审计，审计时间为</w:t>
            </w:r>
            <w:r>
              <w:rPr>
                <w:rFonts w:hint="default" w:ascii="Times New Roman" w:hAnsi="Times New Roman" w:eastAsia="仿宋_GB2312" w:cs="Times New Roman"/>
                <w:color w:val="auto"/>
                <w:spacing w:val="-20"/>
                <w:sz w:val="28"/>
                <w:szCs w:val="28"/>
                <w:lang w:val="en-US" w:eastAsia="zh-CN"/>
              </w:rPr>
              <w:t>2021年3月-2025年5月</w:t>
            </w:r>
          </w:p>
        </w:tc>
        <w:tc>
          <w:tcPr>
            <w:tcW w:w="2923" w:type="dxa"/>
            <w:noWrap w:val="0"/>
            <w:vAlign w:val="center"/>
          </w:tcPr>
          <w:p>
            <w:pPr>
              <w:jc w:val="center"/>
              <w:rPr>
                <w:rFonts w:hint="default" w:ascii="Times New Roman" w:hAnsi="Times New Roman" w:eastAsia="仿宋_GB2312" w:cs="Times New Roman"/>
                <w:color w:val="auto"/>
                <w:spacing w:val="-20"/>
                <w:sz w:val="28"/>
                <w:szCs w:val="28"/>
                <w:lang w:val="en-US" w:eastAsia="zh-CN"/>
              </w:rPr>
            </w:pPr>
            <w:r>
              <w:rPr>
                <w:rFonts w:hint="eastAsia" w:eastAsia="仿宋_GB2312" w:cs="Times New Roman"/>
                <w:color w:val="auto"/>
                <w:spacing w:val="-20"/>
                <w:sz w:val="28"/>
                <w:szCs w:val="28"/>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2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pacing w:val="-20"/>
                <w:sz w:val="28"/>
                <w:szCs w:val="28"/>
                <w:lang w:eastAsia="zh-CN"/>
              </w:rPr>
            </w:pPr>
            <w:r>
              <w:rPr>
                <w:rFonts w:hint="default" w:ascii="Times New Roman" w:hAnsi="Times New Roman" w:eastAsia="仿宋_GB2312" w:cs="Times New Roman"/>
                <w:color w:val="auto"/>
                <w:spacing w:val="-20"/>
                <w:sz w:val="28"/>
                <w:szCs w:val="28"/>
                <w:lang w:val="en-US" w:eastAsia="zh-CN"/>
              </w:rPr>
              <w:t>市房产经营公司2025</w:t>
            </w:r>
            <w:r>
              <w:rPr>
                <w:rFonts w:hint="default" w:ascii="Times New Roman" w:hAnsi="Times New Roman" w:eastAsia="仿宋_GB2312" w:cs="Times New Roman"/>
                <w:color w:val="auto"/>
                <w:spacing w:val="-20"/>
                <w:sz w:val="28"/>
                <w:szCs w:val="28"/>
                <w:lang w:eastAsia="zh-CN"/>
              </w:rPr>
              <w:t>年财务收支情况</w:t>
            </w:r>
            <w:r>
              <w:rPr>
                <w:rFonts w:hint="default" w:ascii="Times New Roman" w:hAnsi="Times New Roman" w:eastAsia="仿宋_GB2312" w:cs="Times New Roman"/>
                <w:color w:val="auto"/>
                <w:spacing w:val="-20"/>
                <w:sz w:val="28"/>
                <w:szCs w:val="28"/>
                <w:lang w:val="en-US" w:eastAsia="zh-CN"/>
              </w:rPr>
              <w:t>审计</w:t>
            </w:r>
          </w:p>
        </w:tc>
        <w:tc>
          <w:tcPr>
            <w:tcW w:w="2923" w:type="dxa"/>
            <w:noWrap w:val="0"/>
            <w:vAlign w:val="center"/>
          </w:tcPr>
          <w:p>
            <w:pPr>
              <w:jc w:val="center"/>
              <w:rPr>
                <w:rFonts w:hint="default" w:ascii="Times New Roman" w:hAnsi="Times New Roman" w:eastAsia="仿宋_GB2312" w:cs="Times New Roman"/>
                <w:color w:val="auto"/>
                <w:spacing w:val="-20"/>
                <w:sz w:val="28"/>
                <w:szCs w:val="28"/>
                <w:lang w:val="en-US" w:eastAsia="zh-CN"/>
              </w:rPr>
            </w:pPr>
            <w:r>
              <w:rPr>
                <w:rFonts w:hint="eastAsia" w:eastAsia="仿宋_GB2312" w:cs="Times New Roman"/>
                <w:color w:val="auto"/>
                <w:spacing w:val="-20"/>
                <w:sz w:val="28"/>
                <w:szCs w:val="28"/>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2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pacing w:val="-20"/>
                <w:sz w:val="28"/>
                <w:szCs w:val="28"/>
                <w:lang w:val="en-US" w:eastAsia="zh-CN"/>
              </w:rPr>
            </w:pPr>
            <w:r>
              <w:rPr>
                <w:rFonts w:hint="default" w:ascii="Times New Roman" w:hAnsi="Times New Roman" w:eastAsia="仿宋_GB2312" w:cs="Times New Roman"/>
                <w:color w:val="auto"/>
                <w:spacing w:val="-20"/>
                <w:sz w:val="28"/>
                <w:szCs w:val="28"/>
                <w:lang w:val="en-US" w:eastAsia="zh-CN"/>
              </w:rPr>
              <w:t>“码头路至花山路11万伏电力缆线过江建设工程”重点项目审计</w:t>
            </w:r>
          </w:p>
        </w:tc>
        <w:tc>
          <w:tcPr>
            <w:tcW w:w="2923" w:type="dxa"/>
            <w:noWrap w:val="0"/>
            <w:vAlign w:val="center"/>
          </w:tcPr>
          <w:p>
            <w:pPr>
              <w:jc w:val="center"/>
              <w:rPr>
                <w:rFonts w:hint="default" w:ascii="Times New Roman" w:hAnsi="Times New Roman" w:eastAsia="仿宋_GB2312" w:cs="Times New Roman"/>
                <w:color w:val="auto"/>
                <w:spacing w:val="-20"/>
                <w:sz w:val="28"/>
                <w:szCs w:val="28"/>
                <w:lang w:val="en-US" w:eastAsia="zh-CN"/>
              </w:rPr>
            </w:pPr>
            <w:r>
              <w:rPr>
                <w:rFonts w:hint="eastAsia" w:eastAsia="仿宋_GB2312" w:cs="Times New Roman"/>
                <w:color w:val="auto"/>
                <w:spacing w:val="-20"/>
                <w:sz w:val="28"/>
                <w:szCs w:val="28"/>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2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pacing w:val="-20"/>
                <w:sz w:val="28"/>
                <w:szCs w:val="28"/>
                <w:lang w:val="en-US" w:eastAsia="zh-CN"/>
              </w:rPr>
              <w:t>黄山市三区四县房地产项目商品房预售资金专项审计</w:t>
            </w:r>
          </w:p>
        </w:tc>
        <w:tc>
          <w:tcPr>
            <w:tcW w:w="2923" w:type="dxa"/>
            <w:noWrap w:val="0"/>
            <w:vAlign w:val="center"/>
          </w:tcPr>
          <w:p>
            <w:pPr>
              <w:jc w:val="center"/>
              <w:rPr>
                <w:rFonts w:hint="default" w:ascii="Times New Roman" w:hAnsi="Times New Roman" w:eastAsia="仿宋_GB2312" w:cs="Times New Roman"/>
                <w:color w:val="auto"/>
                <w:spacing w:val="-20"/>
                <w:sz w:val="28"/>
                <w:szCs w:val="28"/>
                <w:lang w:val="en-US" w:eastAsia="zh-CN"/>
              </w:rPr>
            </w:pPr>
            <w:r>
              <w:rPr>
                <w:rFonts w:hint="eastAsia" w:eastAsia="仿宋_GB2312" w:cs="Times New Roman"/>
                <w:color w:val="auto"/>
                <w:spacing w:val="-20"/>
                <w:sz w:val="28"/>
                <w:szCs w:val="28"/>
                <w:lang w:val="en-US" w:eastAsia="zh-CN"/>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2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pacing w:val="-20"/>
                <w:sz w:val="28"/>
                <w:szCs w:val="28"/>
                <w:lang w:val="en-US" w:eastAsia="zh-CN"/>
              </w:rPr>
            </w:pPr>
            <w:r>
              <w:rPr>
                <w:rFonts w:hint="default" w:ascii="Times New Roman" w:hAnsi="Times New Roman" w:eastAsia="仿宋_GB2312" w:cs="Times New Roman"/>
                <w:color w:val="auto"/>
                <w:spacing w:val="-20"/>
                <w:sz w:val="28"/>
                <w:szCs w:val="28"/>
                <w:lang w:val="en-US" w:eastAsia="zh-CN"/>
              </w:rPr>
              <w:t>市本级2507套公租房租金收缴专项审计，审计时间2019年2月（机构改革市住建局组建后）至2025年12月底（移交市建投集团前）</w:t>
            </w:r>
          </w:p>
        </w:tc>
        <w:tc>
          <w:tcPr>
            <w:tcW w:w="2923" w:type="dxa"/>
            <w:noWrap w:val="0"/>
            <w:vAlign w:val="center"/>
          </w:tcPr>
          <w:p>
            <w:pPr>
              <w:jc w:val="center"/>
              <w:rPr>
                <w:rFonts w:hint="default" w:ascii="Times New Roman" w:hAnsi="Times New Roman" w:eastAsia="仿宋_GB2312" w:cs="Times New Roman"/>
                <w:color w:val="auto"/>
                <w:spacing w:val="-20"/>
                <w:sz w:val="28"/>
                <w:szCs w:val="28"/>
                <w:lang w:val="en-US" w:eastAsia="zh-CN"/>
              </w:rPr>
            </w:pPr>
            <w:r>
              <w:rPr>
                <w:rFonts w:hint="eastAsia" w:eastAsia="仿宋_GB2312" w:cs="Times New Roman"/>
                <w:color w:val="auto"/>
                <w:spacing w:val="-20"/>
                <w:sz w:val="28"/>
                <w:szCs w:val="28"/>
                <w:lang w:val="en-US" w:eastAsia="zh-CN"/>
              </w:rPr>
              <w:t>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625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仿宋_GB2312" w:cs="Times New Roman"/>
                <w:color w:val="auto"/>
                <w:spacing w:val="-20"/>
                <w:sz w:val="28"/>
                <w:szCs w:val="28"/>
                <w:lang w:val="en-US" w:eastAsia="zh-CN"/>
              </w:rPr>
            </w:pPr>
            <w:r>
              <w:rPr>
                <w:rFonts w:hint="default" w:ascii="Times New Roman" w:hAnsi="Times New Roman" w:eastAsia="仿宋_GB2312" w:cs="Times New Roman"/>
                <w:color w:val="auto"/>
                <w:spacing w:val="-20"/>
                <w:sz w:val="28"/>
                <w:szCs w:val="28"/>
                <w:lang w:val="en-US" w:eastAsia="zh-CN"/>
              </w:rPr>
              <w:t>市住房租赁保障管理中心2025年单位整体支出绩效评价</w:t>
            </w:r>
          </w:p>
        </w:tc>
        <w:tc>
          <w:tcPr>
            <w:tcW w:w="2923" w:type="dxa"/>
            <w:noWrap w:val="0"/>
            <w:vAlign w:val="center"/>
          </w:tcPr>
          <w:p>
            <w:pPr>
              <w:jc w:val="center"/>
              <w:rPr>
                <w:rFonts w:hint="default" w:ascii="Times New Roman" w:hAnsi="Times New Roman" w:eastAsia="仿宋_GB2312" w:cs="Times New Roman"/>
                <w:color w:val="auto"/>
                <w:spacing w:val="-20"/>
                <w:sz w:val="28"/>
                <w:szCs w:val="28"/>
                <w:lang w:val="en-US" w:eastAsia="zh-CN"/>
              </w:rPr>
            </w:pPr>
            <w:r>
              <w:rPr>
                <w:rFonts w:hint="eastAsia" w:eastAsia="仿宋_GB2312" w:cs="Times New Roman"/>
                <w:color w:val="auto"/>
                <w:spacing w:val="-20"/>
                <w:sz w:val="28"/>
                <w:szCs w:val="28"/>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6256" w:type="dxa"/>
            <w:noWrap w:val="0"/>
            <w:vAlign w:val="center"/>
          </w:tcPr>
          <w:p>
            <w:pPr>
              <w:spacing w:line="480" w:lineRule="auto"/>
              <w:ind w:firstLine="1120" w:firstLineChars="4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合  计</w:t>
            </w:r>
          </w:p>
        </w:tc>
        <w:tc>
          <w:tcPr>
            <w:tcW w:w="2923" w:type="dxa"/>
            <w:noWrap w:val="0"/>
            <w:vAlign w:val="center"/>
          </w:tcPr>
          <w:p>
            <w:pPr>
              <w:jc w:val="center"/>
              <w:rPr>
                <w:rFonts w:hint="default" w:ascii="Times New Roman" w:hAnsi="Times New Roman" w:eastAsia="仿宋_GB2312" w:cs="Times New Roman"/>
                <w:color w:val="auto"/>
                <w:spacing w:val="-20"/>
                <w:sz w:val="28"/>
                <w:szCs w:val="28"/>
                <w:lang w:val="en-US" w:eastAsia="zh-CN"/>
              </w:rPr>
            </w:pPr>
            <w:r>
              <w:rPr>
                <w:rFonts w:hint="default" w:ascii="Times New Roman" w:hAnsi="Times New Roman" w:eastAsia="仿宋_GB2312" w:cs="Times New Roman"/>
                <w:color w:val="auto"/>
                <w:spacing w:val="-20"/>
                <w:sz w:val="28"/>
                <w:szCs w:val="28"/>
                <w:lang w:val="en-US" w:eastAsia="zh-CN"/>
              </w:rPr>
              <w:t>100000</w:t>
            </w:r>
          </w:p>
        </w:tc>
      </w:tr>
    </w:tbl>
    <w:p>
      <w:pPr>
        <w:numPr>
          <w:ilvl w:val="0"/>
          <w:numId w:val="0"/>
        </w:numPr>
        <w:spacing w:line="360" w:lineRule="auto"/>
        <w:jc w:val="left"/>
        <w:outlineLvl w:val="0"/>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8"/>
          <w:lang w:val="en-US" w:eastAsia="zh-CN"/>
        </w:rPr>
        <w:t>备注：1.黄山市三区四县房地产项目商品房预售资金专项审计涉及</w:t>
      </w:r>
      <w:r>
        <w:rPr>
          <w:rFonts w:hint="eastAsia" w:ascii="仿宋_GB2312" w:hAnsi="仿宋_GB2312" w:eastAsia="仿宋_GB2312" w:cs="仿宋_GB2312"/>
          <w:b w:val="0"/>
          <w:bCs/>
          <w:sz w:val="24"/>
          <w:szCs w:val="24"/>
        </w:rPr>
        <w:t>全市预售资金监管项目33个、当前监管资金余额1.44亿元，此次抽查12个项目（占比36%）、监管资金余额0.76亿元</w:t>
      </w:r>
      <w:r>
        <w:rPr>
          <w:rFonts w:hint="eastAsia" w:ascii="仿宋_GB2312" w:hAnsi="仿宋_GB2312" w:eastAsia="仿宋_GB2312" w:cs="仿宋_GB2312"/>
          <w:b w:val="0"/>
          <w:bCs/>
          <w:sz w:val="24"/>
          <w:szCs w:val="24"/>
          <w:lang w:eastAsia="zh-CN"/>
        </w:rPr>
        <w:t>。</w:t>
      </w:r>
    </w:p>
    <w:p>
      <w:pPr>
        <w:numPr>
          <w:ilvl w:val="0"/>
          <w:numId w:val="0"/>
        </w:numPr>
        <w:spacing w:line="360" w:lineRule="auto"/>
        <w:ind w:firstLine="480" w:firstLineChars="200"/>
        <w:jc w:val="left"/>
        <w:outlineLvl w:val="0"/>
        <w:rPr>
          <w:rFonts w:hint="default" w:ascii="仿宋_GB2312" w:hAnsi="仿宋_GB2312" w:eastAsia="仿宋_GB2312" w:cs="仿宋_GB2312"/>
          <w:b w:val="0"/>
          <w:bCs/>
          <w:sz w:val="24"/>
          <w:szCs w:val="24"/>
          <w:lang w:val="en-US" w:eastAsia="zh-CN"/>
        </w:rPr>
      </w:pPr>
      <w:bookmarkStart w:id="0" w:name="_GoBack"/>
      <w:bookmarkEnd w:id="0"/>
      <w:r>
        <w:rPr>
          <w:rFonts w:hint="eastAsia" w:ascii="仿宋_GB2312" w:hAnsi="仿宋_GB2312" w:eastAsia="仿宋_GB2312" w:cs="仿宋_GB2312"/>
          <w:b w:val="0"/>
          <w:bCs/>
          <w:sz w:val="24"/>
          <w:szCs w:val="24"/>
          <w:lang w:val="en-US" w:eastAsia="zh-CN"/>
        </w:rPr>
        <w:t>2.市本级2507套公租房租金收缴专项审计,该项审计从2019年2月至2025年12月，时间跨度为7年，需逐一核实2507套公租房7年间的租金收缴情况（特别是应缴未缴部分需核实到户），工作量较大，必要时要上户核查。</w:t>
      </w:r>
    </w:p>
    <w:p>
      <w:pPr>
        <w:numPr>
          <w:ilvl w:val="0"/>
          <w:numId w:val="0"/>
        </w:numPr>
        <w:spacing w:line="360" w:lineRule="auto"/>
        <w:ind w:firstLine="643" w:firstLineChars="200"/>
        <w:jc w:val="left"/>
        <w:outlineLvl w:val="0"/>
        <w:rPr>
          <w:rFonts w:hint="eastAsia" w:ascii="楷体" w:hAnsi="楷体" w:eastAsia="楷体" w:cs="楷体"/>
          <w:b/>
          <w:bCs w:val="0"/>
          <w:sz w:val="32"/>
          <w:szCs w:val="32"/>
          <w:lang w:val="en-US" w:eastAsia="zh-CN"/>
        </w:rPr>
      </w:pPr>
    </w:p>
    <w:p>
      <w:pPr>
        <w:numPr>
          <w:ilvl w:val="0"/>
          <w:numId w:val="0"/>
        </w:numPr>
        <w:spacing w:line="360" w:lineRule="auto"/>
        <w:ind w:firstLine="643" w:firstLineChars="200"/>
        <w:jc w:val="left"/>
        <w:outlineLvl w:val="0"/>
        <w:rPr>
          <w:rFonts w:hint="eastAsia" w:ascii="楷体" w:hAnsi="楷体" w:eastAsia="楷体" w:cs="楷体"/>
          <w:b/>
          <w:bCs w:val="0"/>
          <w:sz w:val="32"/>
          <w:szCs w:val="32"/>
          <w:lang w:val="en-US" w:eastAsia="zh-CN"/>
        </w:rPr>
      </w:pPr>
    </w:p>
    <w:p>
      <w:pPr>
        <w:numPr>
          <w:ilvl w:val="0"/>
          <w:numId w:val="0"/>
        </w:numPr>
        <w:spacing w:line="360" w:lineRule="auto"/>
        <w:ind w:firstLine="643" w:firstLineChars="200"/>
        <w:jc w:val="left"/>
        <w:outlineLvl w:val="0"/>
        <w:rPr>
          <w:rFonts w:hint="eastAsia"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（二）审计要求</w:t>
      </w:r>
    </w:p>
    <w:p>
      <w:pPr>
        <w:keepNext w:val="0"/>
        <w:keepLines w:val="0"/>
        <w:pageBreakBefore w:val="0"/>
        <w:widowControl/>
        <w:kinsoku/>
        <w:wordWrap/>
        <w:overflowPunct/>
        <w:topLinePunct w:val="0"/>
        <w:autoSpaceDE w:val="0"/>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pacing w:val="0"/>
          <w:sz w:val="32"/>
          <w:szCs w:val="32"/>
          <w:lang w:val="en-US" w:eastAsia="zh-CN"/>
        </w:rPr>
      </w:pPr>
      <w:r>
        <w:rPr>
          <w:rFonts w:hint="default" w:ascii="Times New Roman" w:hAnsi="Times New Roman" w:eastAsia="仿宋_GB2312" w:cs="Times New Roman"/>
          <w:b w:val="0"/>
          <w:bCs w:val="0"/>
          <w:color w:val="000000"/>
          <w:spacing w:val="0"/>
          <w:sz w:val="32"/>
          <w:szCs w:val="32"/>
          <w:lang w:val="en-US" w:eastAsia="zh-CN"/>
        </w:rPr>
        <w:t>1.市住房租赁保障中心单位整体支出绩效评价要求4月底前完成。</w:t>
      </w:r>
    </w:p>
    <w:p>
      <w:pPr>
        <w:keepNext w:val="0"/>
        <w:keepLines w:val="0"/>
        <w:pageBreakBefore w:val="0"/>
        <w:widowControl/>
        <w:kinsoku/>
        <w:wordWrap/>
        <w:overflowPunct/>
        <w:topLinePunct w:val="0"/>
        <w:autoSpaceDE w:val="0"/>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pacing w:val="0"/>
          <w:sz w:val="32"/>
          <w:szCs w:val="32"/>
          <w:lang w:val="en-US" w:eastAsia="zh-CN"/>
        </w:rPr>
      </w:pPr>
      <w:r>
        <w:rPr>
          <w:rFonts w:hint="default" w:ascii="Times New Roman" w:hAnsi="Times New Roman" w:eastAsia="仿宋_GB2312" w:cs="Times New Roman"/>
          <w:b w:val="0"/>
          <w:bCs w:val="0"/>
          <w:color w:val="000000"/>
          <w:spacing w:val="0"/>
          <w:sz w:val="32"/>
          <w:szCs w:val="32"/>
          <w:lang w:val="en-US" w:eastAsia="zh-CN"/>
        </w:rPr>
        <w:t>2.其他审计项目须5月份进驻、10月底前完成（提供审计报告初稿）。逾期未完成将核减审计费用，每逾期1天按审计总价的</w:t>
      </w:r>
      <w:r>
        <w:rPr>
          <w:rFonts w:hint="eastAsia" w:ascii="Times New Roman" w:hAnsi="Times New Roman" w:eastAsia="仿宋_GB2312" w:cs="Times New Roman"/>
          <w:b w:val="0"/>
          <w:bCs w:val="0"/>
          <w:color w:val="000000"/>
          <w:spacing w:val="0"/>
          <w:sz w:val="32"/>
          <w:szCs w:val="32"/>
          <w:lang w:val="en-US" w:eastAsia="zh-CN"/>
        </w:rPr>
        <w:t xml:space="preserve"> </w:t>
      </w:r>
      <w:r>
        <w:rPr>
          <w:rFonts w:hint="default" w:ascii="Times New Roman" w:hAnsi="Times New Roman" w:eastAsia="仿宋_GB2312" w:cs="Times New Roman"/>
          <w:b w:val="0"/>
          <w:bCs w:val="0"/>
          <w:color w:val="000000"/>
          <w:spacing w:val="0"/>
          <w:sz w:val="32"/>
          <w:szCs w:val="32"/>
          <w:lang w:val="en-US" w:eastAsia="zh-CN"/>
        </w:rPr>
        <w:t>0.1%</w:t>
      </w:r>
      <w:r>
        <w:rPr>
          <w:rFonts w:hint="eastAsia" w:ascii="Times New Roman" w:hAnsi="Times New Roman" w:eastAsia="仿宋_GB2312" w:cs="Times New Roman"/>
          <w:b w:val="0"/>
          <w:bCs w:val="0"/>
          <w:color w:val="000000"/>
          <w:spacing w:val="0"/>
          <w:sz w:val="32"/>
          <w:szCs w:val="32"/>
          <w:lang w:val="en-US" w:eastAsia="zh-CN"/>
        </w:rPr>
        <w:t xml:space="preserve"> </w:t>
      </w:r>
      <w:r>
        <w:rPr>
          <w:rFonts w:hint="default" w:ascii="Times New Roman" w:hAnsi="Times New Roman" w:eastAsia="仿宋_GB2312" w:cs="Times New Roman"/>
          <w:b w:val="0"/>
          <w:bCs w:val="0"/>
          <w:color w:val="000000"/>
          <w:spacing w:val="0"/>
          <w:sz w:val="32"/>
          <w:szCs w:val="32"/>
          <w:lang w:val="en-US" w:eastAsia="zh-CN"/>
        </w:rPr>
        <w:t>进行核减。</w:t>
      </w:r>
    </w:p>
    <w:p>
      <w:pPr>
        <w:keepNext w:val="0"/>
        <w:keepLines w:val="0"/>
        <w:pageBreakBefore w:val="0"/>
        <w:widowControl/>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黑体" w:hAnsi="黑体" w:eastAsia="黑体" w:cs="黑体"/>
          <w:b w:val="0"/>
          <w:bCs/>
          <w:sz w:val="32"/>
          <w:szCs w:val="32"/>
          <w:lang w:val="en-US" w:eastAsia="zh-CN"/>
        </w:rPr>
      </w:pPr>
      <w:r>
        <w:rPr>
          <w:rFonts w:hint="default" w:ascii="Times New Roman" w:hAnsi="Times New Roman" w:eastAsia="仿宋_GB2312" w:cs="Times New Roman"/>
          <w:b w:val="0"/>
          <w:bCs w:val="0"/>
          <w:color w:val="000000"/>
          <w:spacing w:val="0"/>
          <w:sz w:val="32"/>
          <w:szCs w:val="32"/>
          <w:lang w:val="en-US" w:eastAsia="zh-CN"/>
        </w:rPr>
        <w:t>3.以上审计项目劳务总费用最高限价为</w:t>
      </w:r>
      <w:r>
        <w:rPr>
          <w:rFonts w:hint="eastAsia" w:ascii="Times New Roman" w:hAnsi="Times New Roman" w:eastAsia="仿宋_GB2312" w:cs="Times New Roman"/>
          <w:b w:val="0"/>
          <w:bCs w:val="0"/>
          <w:color w:val="000000"/>
          <w:spacing w:val="0"/>
          <w:sz w:val="32"/>
          <w:szCs w:val="32"/>
          <w:lang w:val="en-US" w:eastAsia="zh-CN"/>
        </w:rPr>
        <w:t>10</w:t>
      </w:r>
      <w:r>
        <w:rPr>
          <w:rFonts w:hint="default" w:ascii="Times New Roman" w:hAnsi="Times New Roman" w:eastAsia="仿宋_GB2312" w:cs="Times New Roman"/>
          <w:b w:val="0"/>
          <w:bCs w:val="0"/>
          <w:color w:val="000000"/>
          <w:spacing w:val="0"/>
          <w:sz w:val="32"/>
          <w:szCs w:val="32"/>
          <w:lang w:val="en-US" w:eastAsia="zh-CN"/>
        </w:rPr>
        <w:t>万元</w:t>
      </w:r>
      <w:r>
        <w:rPr>
          <w:rFonts w:hint="eastAsia" w:ascii="Times New Roman" w:hAnsi="Times New Roman" w:eastAsia="仿宋_GB2312" w:cs="Times New Roman"/>
          <w:b w:val="0"/>
          <w:bCs w:val="0"/>
          <w:color w:val="000000"/>
          <w:spacing w:val="0"/>
          <w:sz w:val="32"/>
          <w:szCs w:val="32"/>
          <w:lang w:val="en-US" w:eastAsia="zh-CN"/>
        </w:rPr>
        <w:t>。</w:t>
      </w:r>
      <w:r>
        <w:rPr>
          <w:rFonts w:hint="default" w:ascii="Times New Roman" w:hAnsi="Times New Roman" w:eastAsia="仿宋_GB2312" w:cs="Times New Roman"/>
          <w:b w:val="0"/>
          <w:bCs w:val="0"/>
          <w:color w:val="000000"/>
          <w:spacing w:val="0"/>
          <w:sz w:val="32"/>
          <w:szCs w:val="32"/>
          <w:lang w:val="en-US" w:eastAsia="zh-CN"/>
        </w:rPr>
        <w:t>需提供每个单项的报价，</w:t>
      </w:r>
      <w:r>
        <w:rPr>
          <w:rFonts w:hint="eastAsia" w:ascii="Times New Roman" w:hAnsi="Times New Roman" w:eastAsia="仿宋_GB2312" w:cs="Times New Roman"/>
          <w:b w:val="0"/>
          <w:bCs w:val="0"/>
          <w:color w:val="000000"/>
          <w:spacing w:val="0"/>
          <w:sz w:val="32"/>
          <w:szCs w:val="32"/>
          <w:lang w:val="en-US" w:eastAsia="zh-CN"/>
        </w:rPr>
        <w:t>含一轮和二轮报价</w:t>
      </w:r>
      <w:r>
        <w:rPr>
          <w:rFonts w:hint="eastAsia" w:eastAsia="仿宋_GB2312" w:cs="Times New Roman"/>
          <w:b w:val="0"/>
          <w:bCs w:val="0"/>
          <w:color w:val="000000"/>
          <w:spacing w:val="0"/>
          <w:sz w:val="32"/>
          <w:szCs w:val="32"/>
          <w:lang w:val="en-US" w:eastAsia="zh-CN"/>
        </w:rPr>
        <w:t>（</w:t>
      </w:r>
      <w:r>
        <w:rPr>
          <w:rFonts w:hint="eastAsia" w:ascii="Times New Roman" w:hAnsi="Times New Roman" w:eastAsia="仿宋_GB2312" w:cs="Times New Roman"/>
          <w:b w:val="0"/>
          <w:bCs w:val="0"/>
          <w:color w:val="000000"/>
          <w:spacing w:val="0"/>
          <w:sz w:val="32"/>
          <w:szCs w:val="32"/>
          <w:lang w:val="en-US" w:eastAsia="zh-CN"/>
        </w:rPr>
        <w:t>其中</w:t>
      </w:r>
      <w:r>
        <w:rPr>
          <w:rFonts w:hint="eastAsia" w:eastAsia="仿宋_GB2312" w:cs="Times New Roman"/>
          <w:b w:val="0"/>
          <w:bCs w:val="0"/>
          <w:color w:val="000000"/>
          <w:spacing w:val="0"/>
          <w:sz w:val="32"/>
          <w:szCs w:val="32"/>
          <w:lang w:val="en-US" w:eastAsia="zh-CN"/>
        </w:rPr>
        <w:t>：</w:t>
      </w:r>
      <w:r>
        <w:rPr>
          <w:rFonts w:hint="eastAsia" w:ascii="Times New Roman" w:hAnsi="Times New Roman" w:eastAsia="仿宋_GB2312" w:cs="Times New Roman"/>
          <w:b w:val="0"/>
          <w:bCs w:val="0"/>
          <w:color w:val="000000"/>
          <w:spacing w:val="0"/>
          <w:sz w:val="32"/>
          <w:szCs w:val="32"/>
          <w:lang w:val="en-US" w:eastAsia="zh-CN"/>
        </w:rPr>
        <w:t>二轮最终报价表无需放在响应文件中，仅供最终报价时使用</w:t>
      </w:r>
      <w:r>
        <w:rPr>
          <w:rFonts w:hint="eastAsia" w:eastAsia="仿宋_GB2312" w:cs="Times New Roman"/>
          <w:b w:val="0"/>
          <w:bCs w:val="0"/>
          <w:color w:val="000000"/>
          <w:spacing w:val="0"/>
          <w:sz w:val="32"/>
          <w:szCs w:val="32"/>
          <w:lang w:val="en-US" w:eastAsia="zh-CN"/>
        </w:rPr>
        <w:t>，请将二轮最终报价表提前盖好章，待二轮谈判时重新报价使用</w:t>
      </w:r>
      <w:r>
        <w:rPr>
          <w:rFonts w:hint="eastAsia" w:ascii="Times New Roman" w:hAnsi="Times New Roman" w:eastAsia="仿宋_GB2312" w:cs="Times New Roman"/>
          <w:b w:val="0"/>
          <w:bCs w:val="0"/>
          <w:color w:val="000000"/>
          <w:spacing w:val="0"/>
          <w:sz w:val="32"/>
          <w:szCs w:val="32"/>
          <w:lang w:val="en-US" w:eastAsia="zh-CN"/>
        </w:rPr>
        <w:t>）</w:t>
      </w:r>
      <w:r>
        <w:rPr>
          <w:rFonts w:hint="eastAsia" w:eastAsia="仿宋_GB2312" w:cs="Times New Roman"/>
          <w:b w:val="0"/>
          <w:bCs w:val="0"/>
          <w:color w:val="000000"/>
          <w:spacing w:val="0"/>
          <w:sz w:val="32"/>
          <w:szCs w:val="32"/>
          <w:lang w:val="en-US" w:eastAsia="zh-CN"/>
        </w:rPr>
        <w:t>。</w:t>
      </w:r>
    </w:p>
    <w:p>
      <w:pPr>
        <w:keepNext w:val="0"/>
        <w:keepLines w:val="0"/>
        <w:pageBreakBefore w:val="0"/>
        <w:numPr>
          <w:ilvl w:val="0"/>
          <w:numId w:val="0"/>
        </w:numPr>
        <w:kinsoku/>
        <w:wordWrap/>
        <w:overflowPunct/>
        <w:topLinePunct w:val="0"/>
        <w:autoSpaceDN/>
        <w:bidi w:val="0"/>
        <w:spacing w:line="560" w:lineRule="exact"/>
        <w:ind w:firstLine="643" w:firstLineChars="200"/>
        <w:jc w:val="both"/>
        <w:textAlignment w:val="auto"/>
        <w:outlineLvl w:val="0"/>
        <w:rPr>
          <w:rFonts w:hint="eastAsia"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（三）评审原则及方式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局评审小组成员负责此次评标工作，在所有的响应文件符合各项要求的情况下，采取竞争性谈判方式，进行两轮次报价，以有效最低价报价者为成交供应商。</w:t>
      </w:r>
    </w:p>
    <w:p>
      <w:pPr>
        <w:keepNext w:val="0"/>
        <w:keepLines w:val="0"/>
        <w:pageBreakBefore w:val="0"/>
        <w:numPr>
          <w:ilvl w:val="0"/>
          <w:numId w:val="0"/>
        </w:numPr>
        <w:kinsoku/>
        <w:wordWrap/>
        <w:overflowPunct/>
        <w:topLinePunct w:val="0"/>
        <w:autoSpaceDN/>
        <w:bidi w:val="0"/>
        <w:spacing w:line="560" w:lineRule="exact"/>
        <w:ind w:firstLine="643" w:firstLineChars="200"/>
        <w:jc w:val="both"/>
        <w:textAlignment w:val="auto"/>
        <w:outlineLvl w:val="0"/>
        <w:rPr>
          <w:rFonts w:hint="eastAsia"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（四）报价文件递交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仿宋_GB2312" w:cs="Times New Roman"/>
          <w:sz w:val="32"/>
          <w:szCs w:val="32"/>
          <w:lang w:eastAsia="zh-CN"/>
        </w:rPr>
      </w:pPr>
      <w:r>
        <w:rPr>
          <w:rFonts w:hint="eastAsia" w:ascii="仿宋_GB2312" w:hAnsi="仿宋_GB2312" w:eastAsia="仿宋_GB2312" w:cs="仿宋_GB2312"/>
          <w:b w:val="0"/>
          <w:bCs/>
          <w:color w:val="auto"/>
          <w:sz w:val="32"/>
          <w:szCs w:val="32"/>
          <w:lang w:val="en-US" w:eastAsia="zh-CN"/>
        </w:rPr>
        <w:t>报价人应将响应文件密封，在封线处加盖公章，密封袋上标明报价项目名称、报价单位全称（公章）等内容。</w:t>
      </w:r>
      <w:r>
        <w:rPr>
          <w:rFonts w:hint="eastAsia" w:ascii="仿宋_GB2312" w:hAnsi="仿宋_GB2312" w:eastAsia="仿宋_GB2312" w:cs="仿宋_GB2312"/>
          <w:sz w:val="32"/>
          <w:szCs w:val="32"/>
        </w:rPr>
        <w:t>投标资料须含以下内容：</w:t>
      </w:r>
      <w:r>
        <w:rPr>
          <w:rFonts w:hint="default" w:ascii="Times New Roman" w:hAnsi="Times New Roman" w:eastAsia="仿宋_GB2312" w:cs="Times New Roman"/>
          <w:sz w:val="32"/>
          <w:szCs w:val="32"/>
        </w:rPr>
        <w:t>（1）营业执照</w:t>
      </w:r>
      <w:r>
        <w:rPr>
          <w:rFonts w:hint="default" w:ascii="Times New Roman" w:hAnsi="Times New Roman" w:eastAsia="仿宋_GB2312" w:cs="Times New Roman"/>
          <w:sz w:val="32"/>
          <w:szCs w:val="32"/>
          <w:lang w:eastAsia="zh-CN"/>
        </w:rPr>
        <w:t>复印件</w:t>
      </w:r>
      <w:r>
        <w:rPr>
          <w:rFonts w:hint="default" w:ascii="Times New Roman" w:hAnsi="Times New Roman" w:eastAsia="仿宋_GB2312" w:cs="Times New Roman"/>
          <w:sz w:val="32"/>
          <w:szCs w:val="32"/>
        </w:rPr>
        <w:t>；（2）执业资格</w:t>
      </w:r>
      <w:r>
        <w:rPr>
          <w:rFonts w:hint="default" w:ascii="Times New Roman" w:hAnsi="Times New Roman" w:eastAsia="仿宋_GB2312" w:cs="Times New Roman"/>
          <w:sz w:val="32"/>
          <w:szCs w:val="32"/>
          <w:lang w:eastAsia="zh-CN"/>
        </w:rPr>
        <w:t>复印件</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对本项目制定工作方案，包括人员配备、</w:t>
      </w:r>
      <w:r>
        <w:rPr>
          <w:rFonts w:hint="default" w:ascii="Times New Roman" w:hAnsi="Times New Roman" w:eastAsia="仿宋_GB2312" w:cs="Times New Roman"/>
          <w:sz w:val="32"/>
          <w:szCs w:val="32"/>
        </w:rPr>
        <w:t>报价表</w:t>
      </w:r>
      <w:r>
        <w:rPr>
          <w:rFonts w:hint="default" w:ascii="Times New Roman" w:hAnsi="Times New Roman" w:eastAsia="仿宋_GB2312" w:cs="Times New Roman"/>
          <w:sz w:val="32"/>
          <w:szCs w:val="32"/>
          <w:lang w:eastAsia="zh-CN"/>
        </w:rPr>
        <w:t>等</w:t>
      </w:r>
      <w:r>
        <w:rPr>
          <w:rFonts w:hint="eastAsia" w:eastAsia="仿宋_GB2312" w:cs="Times New Roman"/>
          <w:sz w:val="32"/>
          <w:szCs w:val="32"/>
          <w:lang w:eastAsia="zh-CN"/>
        </w:rPr>
        <w:t>：（</w:t>
      </w:r>
      <w:r>
        <w:rPr>
          <w:rFonts w:hint="eastAsia" w:eastAsia="仿宋_GB2312" w:cs="Times New Roman"/>
          <w:sz w:val="32"/>
          <w:szCs w:val="32"/>
          <w:lang w:val="en-US" w:eastAsia="zh-CN"/>
        </w:rPr>
        <w:t>4</w:t>
      </w:r>
      <w:r>
        <w:rPr>
          <w:rFonts w:hint="eastAsia" w:eastAsia="仿宋_GB2312" w:cs="Times New Roman"/>
          <w:sz w:val="32"/>
          <w:szCs w:val="32"/>
          <w:lang w:eastAsia="zh-CN"/>
        </w:rPr>
        <w:t>）报价表</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仿宋_GB2312" w:cs="Times New Roman"/>
          <w:b w:val="0"/>
          <w:bCs/>
          <w:color w:val="auto"/>
          <w:sz w:val="32"/>
          <w:szCs w:val="32"/>
          <w:lang w:val="en-US" w:eastAsia="zh-CN"/>
        </w:rPr>
      </w:pPr>
      <w:r>
        <w:rPr>
          <w:rFonts w:hint="eastAsia" w:ascii="仿宋_GB2312" w:hAnsi="仿宋_GB2312" w:eastAsia="仿宋_GB2312" w:cs="仿宋_GB2312"/>
          <w:sz w:val="32"/>
          <w:szCs w:val="32"/>
          <w:lang w:eastAsia="zh-CN"/>
        </w:rPr>
        <w:t>投标文件</w:t>
      </w:r>
      <w:r>
        <w:rPr>
          <w:rFonts w:hint="eastAsia" w:ascii="仿宋_GB2312" w:hAnsi="仿宋_GB2312" w:eastAsia="仿宋_GB2312" w:cs="仿宋_GB2312"/>
          <w:sz w:val="32"/>
          <w:szCs w:val="32"/>
        </w:rPr>
        <w:t>递交</w:t>
      </w:r>
      <w:r>
        <w:rPr>
          <w:rFonts w:hint="eastAsia" w:ascii="仿宋_GB2312" w:hAnsi="仿宋_GB2312" w:eastAsia="仿宋_GB2312" w:cs="仿宋_GB2312"/>
          <w:sz w:val="32"/>
          <w:szCs w:val="32"/>
          <w:lang w:eastAsia="zh-CN"/>
        </w:rPr>
        <w:t>截止</w:t>
      </w:r>
      <w:r>
        <w:rPr>
          <w:rFonts w:hint="eastAsia" w:ascii="仿宋_GB2312" w:hAnsi="仿宋_GB2312" w:eastAsia="仿宋_GB2312" w:cs="仿宋_GB2312"/>
          <w:sz w:val="32"/>
          <w:szCs w:val="32"/>
        </w:rPr>
        <w:t>时间</w:t>
      </w:r>
      <w:r>
        <w:rPr>
          <w:rFonts w:hint="eastAsia" w:ascii="仿宋_GB2312" w:hAnsi="仿宋_GB2312" w:eastAsia="仿宋_GB2312" w:cs="仿宋_GB2312"/>
          <w:sz w:val="32"/>
          <w:szCs w:val="32"/>
          <w:lang w:eastAsia="zh-CN"/>
        </w:rPr>
        <w:t>和开启时间</w:t>
      </w:r>
      <w:r>
        <w:rPr>
          <w:rFonts w:hint="eastAsia" w:ascii="仿宋_GB2312" w:hAnsi="仿宋_GB2312" w:eastAsia="仿宋_GB2312" w:cs="仿宋_GB2312"/>
          <w:sz w:val="32"/>
          <w:szCs w:val="32"/>
        </w:rPr>
        <w:t>为</w:t>
      </w:r>
      <w:r>
        <w:rPr>
          <w:rFonts w:hint="default"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日</w:t>
      </w:r>
      <w:r>
        <w:rPr>
          <w:rFonts w:hint="eastAsia" w:eastAsia="仿宋_GB2312" w:cs="Times New Roman"/>
          <w:sz w:val="32"/>
          <w:szCs w:val="32"/>
          <w:lang w:eastAsia="zh-CN"/>
        </w:rPr>
        <w:t>上午</w:t>
      </w:r>
      <w:r>
        <w:rPr>
          <w:rFonts w:hint="eastAsia" w:eastAsia="仿宋_GB2312" w:cs="Times New Roman"/>
          <w:sz w:val="32"/>
          <w:szCs w:val="32"/>
          <w:lang w:val="en-US" w:eastAsia="zh-CN"/>
        </w:rPr>
        <w:t>9点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地点为黄山市住建局</w:t>
      </w:r>
      <w:r>
        <w:rPr>
          <w:rFonts w:hint="eastAsia" w:ascii="Times New Roman" w:hAnsi="Times New Roman" w:eastAsia="仿宋_GB2312" w:cs="Times New Roman"/>
          <w:sz w:val="32"/>
          <w:szCs w:val="32"/>
          <w:lang w:val="en-US" w:eastAsia="zh-CN"/>
        </w:rPr>
        <w:t>A栋6楼</w:t>
      </w:r>
      <w:r>
        <w:rPr>
          <w:rFonts w:hint="eastAsia" w:ascii="仿宋_GB2312" w:hAnsi="仿宋_GB2312" w:eastAsia="仿宋_GB2312" w:cs="仿宋_GB2312"/>
          <w:sz w:val="32"/>
          <w:szCs w:val="32"/>
        </w:rPr>
        <w:t>。逾期送达</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或者未送达指定地点的投标文件，招标人</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不予受理</w:t>
      </w:r>
      <w:r>
        <w:rPr>
          <w:rFonts w:hint="eastAsia" w:ascii="仿宋_GB2312" w:hAnsi="仿宋_GB2312" w:eastAsia="仿宋_GB2312" w:cs="仿宋_GB2312"/>
          <w:sz w:val="32"/>
          <w:szCs w:val="32"/>
          <w:lang w:eastAsia="zh-CN"/>
        </w:rPr>
        <w:t>。</w:t>
      </w:r>
    </w:p>
    <w:p>
      <w:pPr>
        <w:numPr>
          <w:ilvl w:val="0"/>
          <w:numId w:val="0"/>
        </w:numPr>
        <w:spacing w:line="360" w:lineRule="auto"/>
        <w:ind w:firstLine="640" w:firstLineChars="200"/>
        <w:jc w:val="left"/>
        <w:outlineLvl w:val="0"/>
        <w:rPr>
          <w:rFonts w:hint="eastAsia" w:ascii="仿宋_GB2312" w:hAnsi="仿宋_GB2312" w:eastAsia="仿宋_GB2312" w:cs="仿宋_GB2312"/>
          <w:color w:val="auto"/>
          <w:sz w:val="32"/>
          <w:szCs w:val="32"/>
        </w:rPr>
      </w:pPr>
    </w:p>
    <w:p>
      <w:pPr>
        <w:numPr>
          <w:ilvl w:val="0"/>
          <w:numId w:val="0"/>
        </w:numPr>
        <w:spacing w:line="360" w:lineRule="auto"/>
        <w:ind w:firstLine="640" w:firstLineChars="200"/>
        <w:jc w:val="left"/>
        <w:outlineLvl w:val="0"/>
        <w:rPr>
          <w:rFonts w:hint="eastAsia" w:ascii="仿宋_GB2312" w:hAnsi="仿宋_GB2312" w:eastAsia="仿宋_GB2312" w:cs="仿宋_GB2312"/>
          <w:color w:val="auto"/>
          <w:sz w:val="32"/>
          <w:szCs w:val="32"/>
        </w:rPr>
      </w:pPr>
    </w:p>
    <w:p>
      <w:pPr>
        <w:numPr>
          <w:ilvl w:val="0"/>
          <w:numId w:val="0"/>
        </w:numPr>
        <w:spacing w:line="360" w:lineRule="auto"/>
        <w:ind w:firstLine="4480" w:firstLineChars="1400"/>
        <w:jc w:val="left"/>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黄山市住房和城乡建设局</w:t>
      </w:r>
    </w:p>
    <w:p>
      <w:pPr>
        <w:numPr>
          <w:ilvl w:val="0"/>
          <w:numId w:val="0"/>
        </w:numPr>
        <w:spacing w:line="360" w:lineRule="auto"/>
        <w:ind w:firstLine="5120" w:firstLineChars="1600"/>
        <w:jc w:val="left"/>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2026年3月</w:t>
      </w:r>
      <w:r>
        <w:rPr>
          <w:rFonts w:hint="eastAsia"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MGMwYzljODcyY2RlZjQ2NTk2MDNiZDdjOGFhNmQifQ=="/>
  </w:docVars>
  <w:rsids>
    <w:rsidRoot w:val="00C24411"/>
    <w:rsid w:val="00022416"/>
    <w:rsid w:val="00031662"/>
    <w:rsid w:val="00036264"/>
    <w:rsid w:val="000444A1"/>
    <w:rsid w:val="000447F9"/>
    <w:rsid w:val="00046C75"/>
    <w:rsid w:val="0004709E"/>
    <w:rsid w:val="0006696D"/>
    <w:rsid w:val="000812C9"/>
    <w:rsid w:val="00081F4D"/>
    <w:rsid w:val="00083DB8"/>
    <w:rsid w:val="00096763"/>
    <w:rsid w:val="000A348C"/>
    <w:rsid w:val="000C75B4"/>
    <w:rsid w:val="000E12D4"/>
    <w:rsid w:val="000E79A1"/>
    <w:rsid w:val="000F37CD"/>
    <w:rsid w:val="00111072"/>
    <w:rsid w:val="00117D1E"/>
    <w:rsid w:val="001B68BE"/>
    <w:rsid w:val="001B7299"/>
    <w:rsid w:val="001C2AAF"/>
    <w:rsid w:val="001C6FB2"/>
    <w:rsid w:val="001F3C9B"/>
    <w:rsid w:val="0020640B"/>
    <w:rsid w:val="00223172"/>
    <w:rsid w:val="0023393D"/>
    <w:rsid w:val="002356E2"/>
    <w:rsid w:val="00237653"/>
    <w:rsid w:val="002B1232"/>
    <w:rsid w:val="002B4D14"/>
    <w:rsid w:val="002E5057"/>
    <w:rsid w:val="002E653F"/>
    <w:rsid w:val="002F2E92"/>
    <w:rsid w:val="002F5072"/>
    <w:rsid w:val="00306242"/>
    <w:rsid w:val="003565F5"/>
    <w:rsid w:val="0036162E"/>
    <w:rsid w:val="00366ED0"/>
    <w:rsid w:val="003A715F"/>
    <w:rsid w:val="003A77BE"/>
    <w:rsid w:val="003A7998"/>
    <w:rsid w:val="003B0546"/>
    <w:rsid w:val="003B613C"/>
    <w:rsid w:val="003E5FEA"/>
    <w:rsid w:val="0040284E"/>
    <w:rsid w:val="00417AD2"/>
    <w:rsid w:val="00423091"/>
    <w:rsid w:val="00436C45"/>
    <w:rsid w:val="004507AE"/>
    <w:rsid w:val="00461001"/>
    <w:rsid w:val="004631BA"/>
    <w:rsid w:val="00463EBD"/>
    <w:rsid w:val="00473EE4"/>
    <w:rsid w:val="004818D2"/>
    <w:rsid w:val="004C39BB"/>
    <w:rsid w:val="005142C1"/>
    <w:rsid w:val="00515494"/>
    <w:rsid w:val="005203F0"/>
    <w:rsid w:val="00555D15"/>
    <w:rsid w:val="005714B5"/>
    <w:rsid w:val="00597976"/>
    <w:rsid w:val="005C1419"/>
    <w:rsid w:val="005C6C6A"/>
    <w:rsid w:val="006053F0"/>
    <w:rsid w:val="00605411"/>
    <w:rsid w:val="00611CDD"/>
    <w:rsid w:val="00617AE9"/>
    <w:rsid w:val="00626E40"/>
    <w:rsid w:val="006916DF"/>
    <w:rsid w:val="006E772C"/>
    <w:rsid w:val="006F3E0A"/>
    <w:rsid w:val="006F4F15"/>
    <w:rsid w:val="007076FC"/>
    <w:rsid w:val="00742827"/>
    <w:rsid w:val="0074292E"/>
    <w:rsid w:val="00755D20"/>
    <w:rsid w:val="00760369"/>
    <w:rsid w:val="007B0E88"/>
    <w:rsid w:val="007C7DCB"/>
    <w:rsid w:val="007E0853"/>
    <w:rsid w:val="007F2552"/>
    <w:rsid w:val="008028F0"/>
    <w:rsid w:val="0085493D"/>
    <w:rsid w:val="00861E47"/>
    <w:rsid w:val="00886770"/>
    <w:rsid w:val="00895981"/>
    <w:rsid w:val="008A7AC4"/>
    <w:rsid w:val="008F4B20"/>
    <w:rsid w:val="008F5F7B"/>
    <w:rsid w:val="00902951"/>
    <w:rsid w:val="0092622C"/>
    <w:rsid w:val="009338DB"/>
    <w:rsid w:val="0093504B"/>
    <w:rsid w:val="00971F49"/>
    <w:rsid w:val="009731F1"/>
    <w:rsid w:val="009B3CE2"/>
    <w:rsid w:val="009C3FE3"/>
    <w:rsid w:val="00A03498"/>
    <w:rsid w:val="00A11DFC"/>
    <w:rsid w:val="00A13CF7"/>
    <w:rsid w:val="00A33889"/>
    <w:rsid w:val="00A674C1"/>
    <w:rsid w:val="00A850F2"/>
    <w:rsid w:val="00AB72B9"/>
    <w:rsid w:val="00B16972"/>
    <w:rsid w:val="00B1750E"/>
    <w:rsid w:val="00B26575"/>
    <w:rsid w:val="00B414A9"/>
    <w:rsid w:val="00B64629"/>
    <w:rsid w:val="00B64EBE"/>
    <w:rsid w:val="00B735D4"/>
    <w:rsid w:val="00B765AE"/>
    <w:rsid w:val="00B87BF2"/>
    <w:rsid w:val="00B96FF7"/>
    <w:rsid w:val="00BA3F2F"/>
    <w:rsid w:val="00BA7CBB"/>
    <w:rsid w:val="00BB1D57"/>
    <w:rsid w:val="00BE5C97"/>
    <w:rsid w:val="00BE602A"/>
    <w:rsid w:val="00BF4CAD"/>
    <w:rsid w:val="00C23B8F"/>
    <w:rsid w:val="00C24411"/>
    <w:rsid w:val="00C26430"/>
    <w:rsid w:val="00C51B06"/>
    <w:rsid w:val="00C749B1"/>
    <w:rsid w:val="00C86E25"/>
    <w:rsid w:val="00CB5B01"/>
    <w:rsid w:val="00CC757C"/>
    <w:rsid w:val="00CF3C2E"/>
    <w:rsid w:val="00D02161"/>
    <w:rsid w:val="00D1140C"/>
    <w:rsid w:val="00D3340D"/>
    <w:rsid w:val="00D34BFB"/>
    <w:rsid w:val="00D53A43"/>
    <w:rsid w:val="00D6423C"/>
    <w:rsid w:val="00D72A12"/>
    <w:rsid w:val="00D908DD"/>
    <w:rsid w:val="00DB2596"/>
    <w:rsid w:val="00DC6533"/>
    <w:rsid w:val="00E16757"/>
    <w:rsid w:val="00E327A5"/>
    <w:rsid w:val="00E34A21"/>
    <w:rsid w:val="00E60FE7"/>
    <w:rsid w:val="00E805DD"/>
    <w:rsid w:val="00E828C5"/>
    <w:rsid w:val="00E934BD"/>
    <w:rsid w:val="00ED7F6A"/>
    <w:rsid w:val="00F541EF"/>
    <w:rsid w:val="00F7504B"/>
    <w:rsid w:val="00F86FD2"/>
    <w:rsid w:val="00FA6420"/>
    <w:rsid w:val="00FC38F1"/>
    <w:rsid w:val="00FC698A"/>
    <w:rsid w:val="00FD032C"/>
    <w:rsid w:val="00FF5119"/>
    <w:rsid w:val="00FF679A"/>
    <w:rsid w:val="01944283"/>
    <w:rsid w:val="0297405F"/>
    <w:rsid w:val="02D00540"/>
    <w:rsid w:val="05350AAD"/>
    <w:rsid w:val="068E59A3"/>
    <w:rsid w:val="07397C3E"/>
    <w:rsid w:val="0AEF748C"/>
    <w:rsid w:val="0C501C2B"/>
    <w:rsid w:val="0D883037"/>
    <w:rsid w:val="10D13F37"/>
    <w:rsid w:val="115C0113"/>
    <w:rsid w:val="120A263A"/>
    <w:rsid w:val="14A82EF1"/>
    <w:rsid w:val="155D228F"/>
    <w:rsid w:val="15B573F8"/>
    <w:rsid w:val="16630260"/>
    <w:rsid w:val="16713293"/>
    <w:rsid w:val="17374F6D"/>
    <w:rsid w:val="189E3109"/>
    <w:rsid w:val="1AA02E49"/>
    <w:rsid w:val="1D4C2E86"/>
    <w:rsid w:val="1FDF5B79"/>
    <w:rsid w:val="209F0482"/>
    <w:rsid w:val="239D56BE"/>
    <w:rsid w:val="27CE488B"/>
    <w:rsid w:val="28504E67"/>
    <w:rsid w:val="29681CF6"/>
    <w:rsid w:val="2B1A7C9F"/>
    <w:rsid w:val="2D99384F"/>
    <w:rsid w:val="3313411C"/>
    <w:rsid w:val="337B4EF0"/>
    <w:rsid w:val="37A4253C"/>
    <w:rsid w:val="3AE2068C"/>
    <w:rsid w:val="3BAD2186"/>
    <w:rsid w:val="3BD5579B"/>
    <w:rsid w:val="3C9B0B84"/>
    <w:rsid w:val="3D785C0D"/>
    <w:rsid w:val="3EC355C7"/>
    <w:rsid w:val="409824EA"/>
    <w:rsid w:val="413A49EE"/>
    <w:rsid w:val="433104DF"/>
    <w:rsid w:val="459903AA"/>
    <w:rsid w:val="45F81638"/>
    <w:rsid w:val="46102EE9"/>
    <w:rsid w:val="47A63609"/>
    <w:rsid w:val="48653FDE"/>
    <w:rsid w:val="4F336601"/>
    <w:rsid w:val="50A30FF0"/>
    <w:rsid w:val="52D65C85"/>
    <w:rsid w:val="54A11FA8"/>
    <w:rsid w:val="55C52C20"/>
    <w:rsid w:val="58564186"/>
    <w:rsid w:val="59E16FFC"/>
    <w:rsid w:val="616C628C"/>
    <w:rsid w:val="63D07A65"/>
    <w:rsid w:val="68EA6346"/>
    <w:rsid w:val="69BD1B68"/>
    <w:rsid w:val="6E050268"/>
    <w:rsid w:val="6E5A6A47"/>
    <w:rsid w:val="6FB401EC"/>
    <w:rsid w:val="712055CD"/>
    <w:rsid w:val="71216C3D"/>
    <w:rsid w:val="742B226E"/>
    <w:rsid w:val="784E4915"/>
    <w:rsid w:val="78FE39E6"/>
    <w:rsid w:val="7AF30D89"/>
    <w:rsid w:val="7E6848B4"/>
    <w:rsid w:val="FD67B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link w:val="23"/>
    <w:unhideWhenUsed/>
    <w:qFormat/>
    <w:uiPriority w:val="9"/>
    <w:pPr>
      <w:keepNext/>
      <w:keepLines/>
      <w:spacing w:before="120" w:after="120" w:line="360" w:lineRule="auto"/>
      <w:ind w:right="50" w:rightChars="50"/>
      <w:outlineLvl w:val="1"/>
    </w:pPr>
    <w:rPr>
      <w:rFonts w:asciiTheme="majorHAnsi" w:hAnsiTheme="majorHAnsi" w:eastAsiaTheme="majorEastAsia" w:cstheme="majorBidi"/>
      <w:bCs/>
      <w:sz w:val="24"/>
      <w:szCs w:val="32"/>
    </w:rPr>
  </w:style>
  <w:style w:type="paragraph" w:styleId="3">
    <w:name w:val="heading 3"/>
    <w:basedOn w:val="1"/>
    <w:next w:val="1"/>
    <w:link w:val="24"/>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26"/>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1"/>
    <w:qFormat/>
    <w:uiPriority w:val="0"/>
    <w:pPr>
      <w:jc w:val="left"/>
    </w:pPr>
    <w:rPr>
      <w:rFonts w:ascii="Arial" w:hAnsi="Arial" w:eastAsia="黑体" w:cs="Arial"/>
    </w:r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6"/>
    <w:next w:val="6"/>
    <w:link w:val="27"/>
    <w:semiHidden/>
    <w:unhideWhenUsed/>
    <w:qFormat/>
    <w:uiPriority w:val="99"/>
    <w:rPr>
      <w:rFonts w:ascii="Times New Roman" w:hAnsi="Times New Roman" w:eastAsia="宋体" w:cs="Times New Roman"/>
      <w:b/>
      <w:bCs/>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paragraph" w:customStyle="1" w:styleId="16">
    <w:name w:val="[Normal]"/>
    <w:qFormat/>
    <w:uiPriority w:val="0"/>
    <w:rPr>
      <w:rFonts w:ascii="宋体" w:hAnsi="宋体" w:eastAsia="宋体" w:cs="Times New Roman"/>
      <w:sz w:val="24"/>
      <w:szCs w:val="22"/>
      <w:lang w:val="zh-CN" w:eastAsia="zh-CN" w:bidi="ar-SA"/>
    </w:rPr>
  </w:style>
  <w:style w:type="paragraph" w:customStyle="1" w:styleId="17">
    <w:name w:val="Char Char Char Char Char Char Char Char Char Char"/>
    <w:basedOn w:val="1"/>
    <w:qFormat/>
    <w:uiPriority w:val="0"/>
    <w:rPr>
      <w:rFonts w:ascii="Tahoma" w:hAnsi="Tahoma" w:cs="仿宋_GB2312"/>
      <w:sz w:val="24"/>
    </w:rPr>
  </w:style>
  <w:style w:type="character" w:customStyle="1" w:styleId="18">
    <w:name w:val="页眉 字符"/>
    <w:basedOn w:val="14"/>
    <w:link w:val="9"/>
    <w:qFormat/>
    <w:uiPriority w:val="99"/>
    <w:rPr>
      <w:rFonts w:ascii="Times New Roman" w:hAnsi="Times New Roman" w:eastAsia="宋体" w:cs="Times New Roman"/>
      <w:sz w:val="18"/>
      <w:szCs w:val="18"/>
    </w:rPr>
  </w:style>
  <w:style w:type="character" w:customStyle="1" w:styleId="19">
    <w:name w:val="页脚 字符"/>
    <w:basedOn w:val="14"/>
    <w:link w:val="8"/>
    <w:qFormat/>
    <w:uiPriority w:val="99"/>
    <w:rPr>
      <w:rFonts w:ascii="Times New Roman" w:hAnsi="Times New Roman" w:eastAsia="宋体" w:cs="Times New Roman"/>
      <w:sz w:val="18"/>
      <w:szCs w:val="18"/>
    </w:rPr>
  </w:style>
  <w:style w:type="character" w:customStyle="1" w:styleId="20">
    <w:name w:val="批注文字 Char"/>
    <w:basedOn w:val="14"/>
    <w:semiHidden/>
    <w:qFormat/>
    <w:uiPriority w:val="99"/>
    <w:rPr>
      <w:rFonts w:ascii="Times New Roman" w:hAnsi="Times New Roman" w:eastAsia="宋体" w:cs="Times New Roman"/>
      <w:szCs w:val="20"/>
    </w:rPr>
  </w:style>
  <w:style w:type="character" w:customStyle="1" w:styleId="21">
    <w:name w:val="批注文字 字符"/>
    <w:link w:val="6"/>
    <w:qFormat/>
    <w:uiPriority w:val="0"/>
    <w:rPr>
      <w:rFonts w:ascii="Arial" w:hAnsi="Arial" w:eastAsia="黑体" w:cs="Arial"/>
      <w:szCs w:val="20"/>
    </w:rPr>
  </w:style>
  <w:style w:type="character" w:customStyle="1" w:styleId="22">
    <w:name w:val="批注框文本 字符"/>
    <w:basedOn w:val="14"/>
    <w:link w:val="7"/>
    <w:semiHidden/>
    <w:qFormat/>
    <w:uiPriority w:val="99"/>
    <w:rPr>
      <w:rFonts w:ascii="Times New Roman" w:hAnsi="Times New Roman" w:eastAsia="宋体" w:cs="Times New Roman"/>
      <w:sz w:val="18"/>
      <w:szCs w:val="18"/>
    </w:rPr>
  </w:style>
  <w:style w:type="character" w:customStyle="1" w:styleId="23">
    <w:name w:val="标题 2 字符"/>
    <w:basedOn w:val="14"/>
    <w:link w:val="2"/>
    <w:qFormat/>
    <w:uiPriority w:val="9"/>
    <w:rPr>
      <w:rFonts w:asciiTheme="majorHAnsi" w:hAnsiTheme="majorHAnsi" w:eastAsiaTheme="majorEastAsia" w:cstheme="majorBidi"/>
      <w:bCs/>
      <w:sz w:val="24"/>
      <w:szCs w:val="32"/>
    </w:rPr>
  </w:style>
  <w:style w:type="character" w:customStyle="1" w:styleId="24">
    <w:name w:val="标题 3 字符"/>
    <w:basedOn w:val="14"/>
    <w:link w:val="3"/>
    <w:qFormat/>
    <w:uiPriority w:val="9"/>
    <w:rPr>
      <w:rFonts w:ascii="Times New Roman" w:hAnsi="Times New Roman" w:eastAsia="宋体" w:cs="Times New Roman"/>
      <w:b/>
      <w:bCs/>
      <w:sz w:val="32"/>
      <w:szCs w:val="32"/>
    </w:rPr>
  </w:style>
  <w:style w:type="character" w:customStyle="1" w:styleId="25">
    <w:name w:val="标题 4 字符"/>
    <w:basedOn w:val="14"/>
    <w:link w:val="4"/>
    <w:qFormat/>
    <w:uiPriority w:val="9"/>
    <w:rPr>
      <w:rFonts w:asciiTheme="majorHAnsi" w:hAnsiTheme="majorHAnsi" w:eastAsiaTheme="majorEastAsia" w:cstheme="majorBidi"/>
      <w:b/>
      <w:bCs/>
      <w:sz w:val="28"/>
      <w:szCs w:val="28"/>
    </w:rPr>
  </w:style>
  <w:style w:type="character" w:customStyle="1" w:styleId="26">
    <w:name w:val="标题 5 字符"/>
    <w:basedOn w:val="14"/>
    <w:link w:val="5"/>
    <w:qFormat/>
    <w:uiPriority w:val="9"/>
    <w:rPr>
      <w:rFonts w:ascii="Times New Roman" w:hAnsi="Times New Roman" w:eastAsia="宋体" w:cs="Times New Roman"/>
      <w:b/>
      <w:bCs/>
      <w:sz w:val="28"/>
      <w:szCs w:val="28"/>
    </w:rPr>
  </w:style>
  <w:style w:type="character" w:customStyle="1" w:styleId="27">
    <w:name w:val="批注主题 字符"/>
    <w:basedOn w:val="21"/>
    <w:link w:val="11"/>
    <w:semiHidden/>
    <w:qFormat/>
    <w:uiPriority w:val="99"/>
    <w:rPr>
      <w:rFonts w:ascii="Times New Roman" w:hAnsi="Times New Roman" w:eastAsia="宋体" w:cs="Times New Roman"/>
      <w:b/>
      <w:bCs/>
      <w:szCs w:val="20"/>
    </w:rPr>
  </w:style>
  <w:style w:type="character" w:customStyle="1" w:styleId="28">
    <w:name w:val="font41"/>
    <w:basedOn w:val="14"/>
    <w:qFormat/>
    <w:uiPriority w:val="0"/>
    <w:rPr>
      <w:rFonts w:hint="eastAsia" w:ascii="宋体" w:hAnsi="宋体" w:eastAsia="宋体" w:cs="宋体"/>
      <w:b/>
      <w:bCs/>
      <w:color w:val="000000"/>
      <w:sz w:val="24"/>
      <w:szCs w:val="24"/>
      <w:u w:val="single"/>
    </w:rPr>
  </w:style>
  <w:style w:type="character" w:customStyle="1" w:styleId="29">
    <w:name w:val="font11"/>
    <w:basedOn w:val="14"/>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1245</Words>
  <Characters>1334</Characters>
  <Lines>44</Lines>
  <Paragraphs>12</Paragraphs>
  <TotalTime>3</TotalTime>
  <ScaleCrop>false</ScaleCrop>
  <LinksUpToDate>false</LinksUpToDate>
  <CharactersWithSpaces>1340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2021-04-26T10:19:00Z</dcterms:created>
  <dc:creator>zhaoking</dc:creator>
  <cp:lastModifiedBy>Administrator</cp:lastModifiedBy>
  <dcterms:modified xsi:type="dcterms:W3CDTF">2026-03-20T09:40:13Z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74E2BC44687E4C659CF5A53511F77C50_13</vt:lpwstr>
  </property>
  <property fmtid="{D5CDD505-2E9C-101B-9397-08002B2CF9AE}" pid="4" name="KSOTemplateDocerSaveRecord">
    <vt:lpwstr>eyJoZGlkIjoiMTYyODU3YzhhOGE2MjliMmM5ZmY2MWMzM2JiMmI3MDEiLCJ1c2VySWQiOiIxMjQwMjU3MjcwIn0=</vt:lpwstr>
  </property>
</Properties>
</file>