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auto"/>
          <w:spacing w:val="0"/>
          <w:sz w:val="44"/>
          <w:szCs w:val="44"/>
        </w:rPr>
      </w:pPr>
      <w:r>
        <w:rPr>
          <w:rFonts w:hint="eastAsia" w:ascii="方正小标宋简体" w:hAnsi="方正小标宋简体" w:eastAsia="方正小标宋简体" w:cs="方正小标宋简体"/>
          <w:b/>
          <w:bCs/>
          <w:i w:val="0"/>
          <w:iCs w:val="0"/>
          <w:caps w:val="0"/>
          <w:color w:val="auto"/>
          <w:spacing w:val="0"/>
          <w:kern w:val="0"/>
          <w:sz w:val="44"/>
          <w:szCs w:val="44"/>
          <w:lang w:val="en-US" w:eastAsia="zh-CN" w:bidi="ar"/>
        </w:rPr>
        <w:t>关于进一步明确建设工程职称申报有关事项的通知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建人函〔2021〕288号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各市和广德市、宿松县住房和城乡建设局（城乡建设局），各行业主管局，省直及中直驻皖有关单位，厅直各单位：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为进一步做好建设工程职称申报工作，更好为广大专业技术人员提供服务和指导，根据《安徽省建设工程专业技术资格评审标准条件》（建人〔2019〕87号，以下简称《标准条件》）等有关规定，经商省人力资源社会保障厅同意，结合我省建设工程实际，现就职称申报有关事项进一步明确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一、关于申报原则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职称评审坚持德才兼备、以德为先的原则，科学客观公正评价专业技术人才。申报建设工程职称评审的人员（以下简称申报人）应当遵守宪法和法律法规，具备良好的职业道德和敬业精神，符合《标准条件》规定的申报条件。申报人一般应在本人劳动关系所在单位申报，且为在职的专业技术人员，不得以挂靠、兼职等形式在其他单位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二、关于申报时间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建设工程职称申报材料主要通过职称管理服务平台受理。申报人应按规定的时间和程序要求，通过平台提交申报材料，并对申报材料的真实性负责。申报时间一般在每年7、8月份，具体以评审通知为准。对材料不完整、不规范的，受理部门应一次性告知需补正的全部材料。申报人和提交单位应在规定的时间内通过平台补充完善后提交，逾期未提交的，视为自动放弃申报。如有特殊情况，请及时告知受理部门，最长不超过5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三、关于委托评审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省直及市、县需要委托省建设工程专业评委会评审高级职称的，由省直有关单位或所在地相应级别的人力资源社会保障部门出具委托评审函。中直驻皖单位、外省单位（个人）需委托评审的，按属地原则，由所在地相应级别的人力资源社会保障部门出具委托评审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四、关于异地职称确认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积极推进跨区域职称资格互认，申报人从外省流动或中直单位调入到我省工作的专业技术人员，在申报前应将本人在外省或所在中直单位评审通过取得的职称证书，按照职称管理权限，在相应级别的人力资源社会保障部门办理确认手续。具体以省人力资源社会保障厅印发的《安徽省职称评审工作实施办法》（皖人社发〔2018〕5号）等文件规定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五、关于继续教育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根据省有关规定，专业技术人员继续教育每年不少于90学时。其中，公需科目30学时，专业科目60学时。申报人应按照人力资源社会保障部门有关要求参加学习，在申报职称的最近一个任职周期内，年度继续教育学时平均达到规定学时即可，但不得在一个年度内突击完成。专业科目需选择本专业或相近专业课程学习，参加经所在地人力资源社会保障部门或住房城乡建设主管部门备案认可的培训机构组织的培训。学时由所在市人力资源社会保障或住房城乡建设部门予以认定，省直和中直驻皖单位由上级主管部门或所在地人力资源社会保障部门予以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六、关于业绩材料要求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为进一步树立重业绩、重能力的评审导向，申报人提交的业绩材料须与本人工作经历、职责及专业技术工作内容相关，并与申报专业相符合。提供的业绩材料，应能反映本人参与的过程、规模和成果等关键性指标和内容，如前期立项及项目组成立文件、主要节点的过程材料、验收或第三方评价材料、成果应用材料等，以便着重考核专业技术人员履行岗位职责的业绩水平和实际贡献。业绩材料内容和项目规模大小，可参照《安徽省建设工程专业技术资格业绩材料申报参考指引》（附件1）、《建设工程项目规模认定参考标准》（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七、关于论文要求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申报建设工程职称所提供的论文、著作，应符合《标准条件》规定的刊号、内容、作者等要求。提供公开出版发行的论文应能在中国知网、万方数据、维普网等三大国内认可度较高的论文数据库网站上检索验证。凡在上述三大平台检索不到，或发表在电子期刊、副刊、增刊、年刊等，或期刊信息与在新闻出版管理部门备案登记信息不一致的论文，均不作为申报依据。在材料申报截止日无法提供正式出版刊物、仅提供用稿通知或论文录用证明的，不予受理。提交的论文、著作材料应包含封面、目录、前言、有关编审人员的说明、出版刊号，文章全文或参与编写章节全文的有关材料。初审和受理部门可视情况对申报人提交的论文进行重合度检测抽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八、关于业绩替代论文说明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申报人根据《标准条件》第二十二条规定，以业绩代替论文的，需提供有关情况材料说明，包含代替论文所用业绩的项目名称及概况等内容，经所在单位审核后，加盖单位公章上传至平台。作为业绩成果的项目不得重复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九、关于民营企业人员申报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根据国家和省人力资源社会保障部门关于支持民营企业申报职称的有关规定，民营企业人员申报建设工程高级职称的，论文可以用本人“专利成果、技术突破、工艺流程、标准开发、成果转化”等符合条件的业绩替代，提供有关情况材料说明（内容要求同第八条，且作为业绩成果的项目不得重复使用），连同企业营业执照副本，及本人近期3个月以上连续缴存的社保证明，一并上传至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十、关于违背诚信承诺处理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地市初审部门要认真审查申报材料，重点审核申报人是否符合申报条件、上传材料是否清晰有效真实完整。对不符合申报条件或申报要求的，注明存在问题并及时退回。对伪造学历、资历、业绩等申报材料，剽窃他人成果、论文重复率较高等弄虚作假者，按有关规定严肃处理。在职称申报、推荐、公示、审核等环节如发现申报人存在弄虚作假、学术不端等失信行为的，取消当年申报资格，已缴费用不予退还，情节严重的暂缓一年申报。取得职称资格证书后，对通过弄虚作假、暗箱操作等违纪违规行为取得的职称予以撤销，提请有关部门依法依规依纪予以处理，且三年内不得申报，相关行为记入职称申报评审诚信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受党纪、政务处分期间或影响期未满的个人，不得申报。申报人所在单位要加强对申报人遵纪守法、廉洁自律等方面的审查，并对提交材料的真实性负责。对履行审核把关职责不力的单位或相关责任人予以批评教育，责令采取补救措施，并可视情况暂停受理该单位的申报材料，直至整改到位；情节严重的，依法依规依纪追究相关人员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本通知自下发之日起执行，未尽事宜以《安徽省建设工程专业技术资格评审标准条件》等有关规定为准。如遇新情况、新问题，各市应及时向厅人事教育处反映。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504"/>
        <w:textAlignment w:val="auto"/>
        <w:rPr>
          <w:rFonts w:hint="eastAsia" w:ascii="仿宋_GB2312" w:hAnsi="仿宋_GB2312" w:eastAsia="仿宋_GB2312" w:cs="仿宋_GB2312"/>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120" w:right="120" w:firstLine="4116"/>
        <w:textAlignment w:val="auto"/>
        <w:rPr>
          <w:rFonts w:hint="eastAsia" w:ascii="仿宋_GB2312" w:hAnsi="微软雅黑" w:eastAsia="仿宋_GB2312" w:cs="仿宋_GB2312"/>
          <w:i w:val="0"/>
          <w:iCs w:val="0"/>
          <w:caps w:val="0"/>
          <w:color w:val="3D4B64"/>
          <w:spacing w:val="0"/>
          <w:sz w:val="25"/>
          <w:szCs w:val="25"/>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             2021年4月1日</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44" w:lineRule="atLeast"/>
        <w:ind w:left="120" w:right="120" w:firstLine="4116"/>
        <w:rPr>
          <w:rFonts w:hint="eastAsia" w:ascii="仿宋_GB2312" w:hAnsi="微软雅黑" w:eastAsia="仿宋_GB2312" w:cs="仿宋_GB2312"/>
          <w:i w:val="0"/>
          <w:iCs w:val="0"/>
          <w:caps w:val="0"/>
          <w:color w:val="3D4B64"/>
          <w:spacing w:val="0"/>
          <w:sz w:val="25"/>
          <w:szCs w:val="25"/>
          <w:shd w:val="clear" w:fill="FFFFFF"/>
          <w:lang w:val="en-US" w:eastAsia="zh-CN"/>
        </w:rPr>
      </w:pPr>
    </w:p>
    <w:p>
      <w:pPr>
        <w:rPr>
          <w:rFonts w:ascii="仿宋_GB2312" w:eastAsia="仿宋_GB2312"/>
          <w:sz w:val="32"/>
          <w:szCs w:val="32"/>
        </w:rPr>
      </w:pPr>
      <w:bookmarkStart w:id="1" w:name="_GoBack"/>
      <w:bookmarkEnd w:id="1"/>
      <w:r>
        <w:rPr>
          <w:rFonts w:hint="eastAsia" w:ascii="仿宋_GB2312" w:eastAsia="仿宋_GB2312"/>
          <w:sz w:val="32"/>
          <w:szCs w:val="32"/>
        </w:rPr>
        <w:t>附件1：</w:t>
      </w:r>
    </w:p>
    <w:tbl>
      <w:tblPr>
        <w:tblStyle w:val="5"/>
        <w:tblW w:w="9229" w:type="dxa"/>
        <w:tblInd w:w="93" w:type="dxa"/>
        <w:tblLayout w:type="fixed"/>
        <w:tblCellMar>
          <w:top w:w="0" w:type="dxa"/>
          <w:left w:w="108" w:type="dxa"/>
          <w:bottom w:w="0" w:type="dxa"/>
          <w:right w:w="108" w:type="dxa"/>
        </w:tblCellMar>
      </w:tblPr>
      <w:tblGrid>
        <w:gridCol w:w="2142"/>
        <w:gridCol w:w="7087"/>
      </w:tblGrid>
      <w:tr>
        <w:tblPrEx>
          <w:tblCellMar>
            <w:top w:w="0" w:type="dxa"/>
            <w:left w:w="108" w:type="dxa"/>
            <w:bottom w:w="0" w:type="dxa"/>
            <w:right w:w="108" w:type="dxa"/>
          </w:tblCellMar>
        </w:tblPrEx>
        <w:trPr>
          <w:trHeight w:val="720" w:hRule="atLeast"/>
        </w:trPr>
        <w:tc>
          <w:tcPr>
            <w:tcW w:w="9229" w:type="dxa"/>
            <w:gridSpan w:val="2"/>
            <w:tcBorders>
              <w:top w:val="nil"/>
              <w:left w:val="nil"/>
              <w:bottom w:val="nil"/>
              <w:right w:val="nil"/>
            </w:tcBorders>
            <w:shd w:val="clear" w:color="auto" w:fill="auto"/>
            <w:vAlign w:val="center"/>
          </w:tcPr>
          <w:p>
            <w:pPr>
              <w:widowControl/>
              <w:spacing w:line="500" w:lineRule="exact"/>
              <w:jc w:val="center"/>
              <w:rPr>
                <w:rFonts w:ascii="仿宋_GB2312" w:hAnsi="华文中宋" w:eastAsia="仿宋_GB2312" w:cs="宋体"/>
                <w:b/>
                <w:bCs/>
                <w:kern w:val="0"/>
                <w:sz w:val="36"/>
                <w:szCs w:val="36"/>
              </w:rPr>
            </w:pPr>
            <w:r>
              <w:rPr>
                <w:rFonts w:hint="eastAsia" w:ascii="华文中宋" w:hAnsi="华文中宋" w:eastAsia="华文中宋" w:cs="宋体"/>
                <w:b/>
                <w:bCs/>
                <w:kern w:val="0"/>
                <w:sz w:val="36"/>
                <w:szCs w:val="36"/>
              </w:rPr>
              <w:t>安徽省建设工程专业技术资格业绩材料申报参考指引</w:t>
            </w:r>
          </w:p>
        </w:tc>
      </w:tr>
      <w:tr>
        <w:tblPrEx>
          <w:tblCellMar>
            <w:top w:w="0" w:type="dxa"/>
            <w:left w:w="108" w:type="dxa"/>
            <w:bottom w:w="0" w:type="dxa"/>
            <w:right w:w="108" w:type="dxa"/>
          </w:tblCellMar>
        </w:tblPrEx>
        <w:trPr>
          <w:trHeight w:val="1641" w:hRule="atLeast"/>
        </w:trPr>
        <w:tc>
          <w:tcPr>
            <w:tcW w:w="9229" w:type="dxa"/>
            <w:gridSpan w:val="2"/>
            <w:tcBorders>
              <w:top w:val="nil"/>
              <w:left w:val="nil"/>
              <w:bottom w:val="nil"/>
              <w:right w:val="nil"/>
            </w:tcBorders>
            <w:shd w:val="clear" w:color="auto" w:fill="auto"/>
            <w:vAlign w:val="center"/>
          </w:tcPr>
          <w:p>
            <w:pPr>
              <w:widowControl/>
              <w:jc w:val="left"/>
              <w:rPr>
                <w:rFonts w:ascii="宋体" w:hAnsi="宋体" w:eastAsia="宋体" w:cs="宋体"/>
                <w:b/>
                <w:bCs/>
                <w:kern w:val="0"/>
                <w:sz w:val="24"/>
                <w:szCs w:val="24"/>
              </w:rPr>
            </w:pPr>
          </w:p>
          <w:p>
            <w:pPr>
              <w:widowControl/>
              <w:jc w:val="left"/>
              <w:rPr>
                <w:rFonts w:ascii="宋体" w:hAnsi="宋体" w:eastAsia="宋体" w:cs="宋体"/>
                <w:kern w:val="0"/>
                <w:sz w:val="24"/>
                <w:szCs w:val="24"/>
              </w:rPr>
            </w:pPr>
            <w:r>
              <w:rPr>
                <w:rFonts w:hint="eastAsia" w:ascii="宋体" w:hAnsi="宋体" w:eastAsia="宋体" w:cs="宋体"/>
                <w:b/>
                <w:bCs/>
                <w:kern w:val="0"/>
                <w:sz w:val="24"/>
                <w:szCs w:val="24"/>
              </w:rPr>
              <w:t>一、工程设计类（</w:t>
            </w:r>
            <w:r>
              <w:rPr>
                <w:rFonts w:hint="eastAsia" w:ascii="宋体" w:hAnsi="宋体" w:eastAsia="宋体" w:cs="宋体"/>
                <w:bCs/>
                <w:kern w:val="0"/>
                <w:sz w:val="24"/>
                <w:szCs w:val="24"/>
              </w:rPr>
              <w:t>包括</w:t>
            </w:r>
            <w:r>
              <w:rPr>
                <w:rFonts w:hint="eastAsia" w:ascii="宋体" w:hAnsi="宋体" w:eastAsia="宋体" w:cs="宋体"/>
                <w:kern w:val="0"/>
                <w:sz w:val="24"/>
                <w:szCs w:val="24"/>
              </w:rPr>
              <w:t>建筑学、城市设计、结构、装饰装修、建筑机械、给水排水、供热通风与空调、建筑电气、建筑智能化、风景园林、勘察、测绘、岩土、城市道路与交通工程、城镇燃气工程、建筑防腐等</w:t>
            </w:r>
            <w:r>
              <w:rPr>
                <w:rFonts w:hint="eastAsia" w:ascii="宋体" w:hAnsi="宋体" w:eastAsia="宋体" w:cs="宋体"/>
                <w:b/>
                <w:bCs/>
                <w:kern w:val="0"/>
                <w:sz w:val="24"/>
                <w:szCs w:val="24"/>
              </w:rPr>
              <w:t>）</w:t>
            </w:r>
          </w:p>
        </w:tc>
      </w:tr>
      <w:tr>
        <w:tblPrEx>
          <w:tblCellMar>
            <w:top w:w="0" w:type="dxa"/>
            <w:left w:w="108" w:type="dxa"/>
            <w:bottom w:w="0" w:type="dxa"/>
            <w:right w:w="108" w:type="dxa"/>
          </w:tblCellMar>
        </w:tblPrEx>
        <w:trPr>
          <w:trHeight w:val="774"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业绩类型</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业绩佐证材料</w:t>
            </w:r>
          </w:p>
          <w:p>
            <w:pPr>
              <w:widowControl/>
              <w:jc w:val="center"/>
              <w:rPr>
                <w:rFonts w:ascii="宋体" w:hAnsi="宋体" w:eastAsia="宋体" w:cs="宋体"/>
                <w:b/>
                <w:bCs/>
                <w:kern w:val="0"/>
                <w:sz w:val="24"/>
                <w:szCs w:val="24"/>
              </w:rPr>
            </w:pPr>
            <w:r>
              <w:rPr>
                <w:rFonts w:hint="eastAsia" w:ascii="宋体" w:hAnsi="宋体" w:eastAsia="宋体" w:cs="宋体"/>
                <w:b/>
                <w:kern w:val="0"/>
                <w:sz w:val="24"/>
                <w:szCs w:val="24"/>
              </w:rPr>
              <w:t>（须与本人工作经历、职责及专技内容相关，并与申报专业相符合）</w:t>
            </w:r>
          </w:p>
        </w:tc>
      </w:tr>
      <w:tr>
        <w:tblPrEx>
          <w:tblCellMar>
            <w:top w:w="0" w:type="dxa"/>
            <w:left w:w="108" w:type="dxa"/>
            <w:bottom w:w="0" w:type="dxa"/>
            <w:right w:w="108" w:type="dxa"/>
          </w:tblCellMar>
        </w:tblPrEx>
        <w:trPr>
          <w:trHeight w:val="1430"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1.获奖奖项</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（其他专业下同）</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（1）获奖项目的前期材料,包括立项、项目组成立文件（人员备案表）等；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（2）获奖项目成果材料，如设计图（存档图纸或经审查合格的电子图，须有单位出图章、相关人员签字，下同）、验收材料等；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（3）获奖证书及获奖红头文件或者相关文件官网截图，须注明授予的部门、获奖时间和等级。</w:t>
            </w:r>
          </w:p>
        </w:tc>
      </w:tr>
      <w:tr>
        <w:tblPrEx>
          <w:tblCellMar>
            <w:top w:w="0" w:type="dxa"/>
            <w:left w:w="108" w:type="dxa"/>
            <w:bottom w:w="0" w:type="dxa"/>
            <w:right w:w="108" w:type="dxa"/>
          </w:tblCellMar>
        </w:tblPrEx>
        <w:trPr>
          <w:trHeight w:val="2107"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2.施工设计、审核</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（1）项目前期材料，包括委托设计合同、项目组成立文件（人员备案表）等相关文件。如以重点工程项目申报，需提供市级以上政府或发改委等相关部门的立项审批文件等；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（2）项目成果材料，包括设计图等；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（3）项目验收材料，如施工图审查合格证或工程竣工验收报告等。</w:t>
            </w:r>
          </w:p>
        </w:tc>
      </w:tr>
      <w:tr>
        <w:tblPrEx>
          <w:tblCellMar>
            <w:top w:w="0" w:type="dxa"/>
            <w:left w:w="108" w:type="dxa"/>
            <w:bottom w:w="0" w:type="dxa"/>
            <w:right w:w="108" w:type="dxa"/>
          </w:tblCellMar>
        </w:tblPrEx>
        <w:trPr>
          <w:trHeight w:val="1387"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3.方案设计</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（1）项目前期材料，包括合同协议、项目组成立文件（人员备案表）等；</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（2）项目成果材料，包括方案文本（含分析图、效果图、平面图、设计说明等）、设计图等；</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（3）项目验收材料，包括相关规划部门的项目规划审定书等。</w:t>
            </w:r>
          </w:p>
        </w:tc>
      </w:tr>
      <w:tr>
        <w:tblPrEx>
          <w:tblCellMar>
            <w:top w:w="0" w:type="dxa"/>
            <w:left w:w="108" w:type="dxa"/>
            <w:bottom w:w="0" w:type="dxa"/>
            <w:right w:w="108" w:type="dxa"/>
          </w:tblCellMar>
        </w:tblPrEx>
        <w:trPr>
          <w:trHeight w:val="170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4.专项设计</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（1）项目前期材料，包括合同协议或相关政府部门的立项审批文件、设计单位出具的项目组人员信息表等；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（2）项目成果材料，包括设计文本、设计图等；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（3）项目实施材料，包括专家评审会意见、施工图审查记录、竣工验收报告等。　</w:t>
            </w:r>
          </w:p>
        </w:tc>
      </w:tr>
      <w:tr>
        <w:tblPrEx>
          <w:tblCellMar>
            <w:top w:w="0" w:type="dxa"/>
            <w:left w:w="108" w:type="dxa"/>
            <w:bottom w:w="0" w:type="dxa"/>
            <w:right w:w="108" w:type="dxa"/>
          </w:tblCellMar>
        </w:tblPrEx>
        <w:trPr>
          <w:trHeight w:val="1417"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5.勘察测绘</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（1）项目前期材料，包括合同协议、项目组成立文件（或人员备案表）等；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（2）项目过程中的材料，如施工方案、工程联系函、会议纪要（各方责任主体）、分部分项验收记录等；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（3）项目成果材料，包括勘察测绘报告等。</w:t>
            </w:r>
          </w:p>
        </w:tc>
      </w:tr>
      <w:tr>
        <w:tblPrEx>
          <w:tblCellMar>
            <w:top w:w="0" w:type="dxa"/>
            <w:left w:w="108" w:type="dxa"/>
            <w:bottom w:w="0" w:type="dxa"/>
            <w:right w:w="108" w:type="dxa"/>
          </w:tblCellMar>
        </w:tblPrEx>
        <w:trPr>
          <w:trHeight w:val="1400"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6.其他，如建筑信息模型设计等</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（1）项目前期材料，包括合同协议或立项文件、项目组成立文件（人员备案表）等；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（2）项目成果材料，如模型、报告、设计文稿等；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（3）项目验收材料，如审批验收材料或委托方证明材料等。</w:t>
            </w:r>
          </w:p>
        </w:tc>
      </w:tr>
      <w:tr>
        <w:tblPrEx>
          <w:tblCellMar>
            <w:top w:w="0" w:type="dxa"/>
            <w:left w:w="108" w:type="dxa"/>
            <w:bottom w:w="0" w:type="dxa"/>
            <w:right w:w="108" w:type="dxa"/>
          </w:tblCellMar>
        </w:tblPrEx>
        <w:trPr>
          <w:trHeight w:val="1185" w:hRule="atLeast"/>
        </w:trPr>
        <w:tc>
          <w:tcPr>
            <w:tcW w:w="9229"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4"/>
                <w:szCs w:val="24"/>
              </w:rPr>
            </w:pPr>
          </w:p>
          <w:p>
            <w:pPr>
              <w:widowControl/>
              <w:jc w:val="center"/>
              <w:rPr>
                <w:rFonts w:ascii="宋体" w:hAnsi="宋体" w:eastAsia="宋体" w:cs="宋体"/>
                <w:b/>
                <w:bCs/>
                <w:kern w:val="0"/>
                <w:sz w:val="24"/>
                <w:szCs w:val="24"/>
              </w:rPr>
            </w:pPr>
          </w:p>
          <w:p>
            <w:pPr>
              <w:widowControl/>
              <w:jc w:val="left"/>
              <w:rPr>
                <w:rFonts w:ascii="宋体" w:hAnsi="宋体" w:eastAsia="宋体" w:cs="宋体"/>
                <w:kern w:val="0"/>
                <w:sz w:val="24"/>
                <w:szCs w:val="24"/>
              </w:rPr>
            </w:pPr>
            <w:r>
              <w:rPr>
                <w:rFonts w:hint="eastAsia" w:ascii="宋体" w:hAnsi="宋体" w:eastAsia="宋体" w:cs="宋体"/>
                <w:b/>
                <w:bCs/>
                <w:kern w:val="0"/>
                <w:sz w:val="24"/>
                <w:szCs w:val="24"/>
              </w:rPr>
              <w:t>二、工程施工类（</w:t>
            </w:r>
            <w:r>
              <w:rPr>
                <w:rFonts w:hint="eastAsia" w:ascii="宋体" w:hAnsi="宋体" w:eastAsia="宋体" w:cs="宋体"/>
                <w:kern w:val="0"/>
                <w:sz w:val="24"/>
                <w:szCs w:val="24"/>
              </w:rPr>
              <w:t>包括房屋建筑、装饰装修、建筑机械、给水排水、供热通风与空调、建筑电气、风景园林、城市道路与交通、城市燃气、建筑防腐、白蚁虫防治等）</w:t>
            </w:r>
            <w:r>
              <w:rPr>
                <w:rFonts w:hint="eastAsia" w:ascii="宋体" w:hAnsi="宋体" w:eastAsia="宋体" w:cs="宋体"/>
                <w:b/>
                <w:bCs/>
                <w:kern w:val="0"/>
                <w:sz w:val="24"/>
                <w:szCs w:val="24"/>
              </w:rPr>
              <w:t>，</w:t>
            </w:r>
            <w:r>
              <w:rPr>
                <w:rFonts w:hint="eastAsia" w:ascii="宋体" w:hAnsi="宋体" w:eastAsia="宋体" w:cs="宋体"/>
                <w:kern w:val="0"/>
                <w:sz w:val="24"/>
                <w:szCs w:val="24"/>
              </w:rPr>
              <w:t>含施工总承包、专业承包、劳务分包。</w:t>
            </w:r>
          </w:p>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944"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业绩类型</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业绩佐证材料</w:t>
            </w:r>
          </w:p>
          <w:p>
            <w:pPr>
              <w:widowControl/>
              <w:jc w:val="center"/>
              <w:rPr>
                <w:rFonts w:ascii="宋体" w:hAnsi="宋体" w:eastAsia="宋体" w:cs="宋体"/>
                <w:b/>
                <w:bCs/>
                <w:kern w:val="0"/>
                <w:sz w:val="24"/>
                <w:szCs w:val="24"/>
              </w:rPr>
            </w:pPr>
            <w:r>
              <w:rPr>
                <w:rFonts w:hint="eastAsia" w:ascii="宋体" w:hAnsi="宋体" w:eastAsia="宋体" w:cs="宋体"/>
                <w:b/>
                <w:kern w:val="0"/>
                <w:sz w:val="24"/>
                <w:szCs w:val="24"/>
              </w:rPr>
              <w:t>（须与本人工作经历、职责及专技内容相关，并与申报专业相符合）</w:t>
            </w:r>
          </w:p>
        </w:tc>
      </w:tr>
      <w:tr>
        <w:tblPrEx>
          <w:tblCellMar>
            <w:top w:w="0" w:type="dxa"/>
            <w:left w:w="108" w:type="dxa"/>
            <w:bottom w:w="0" w:type="dxa"/>
            <w:right w:w="108" w:type="dxa"/>
          </w:tblCellMar>
        </w:tblPrEx>
        <w:trPr>
          <w:trHeight w:val="2924"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1.房屋建筑、装饰装修、风景园林、城市道路与交通、城市燃气、建筑防腐等工程项目施工</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trike/>
                <w:kern w:val="0"/>
                <w:sz w:val="24"/>
                <w:szCs w:val="24"/>
              </w:rPr>
            </w:pPr>
            <w:r>
              <w:rPr>
                <w:rFonts w:hint="eastAsia" w:ascii="宋体" w:hAnsi="宋体" w:eastAsia="宋体" w:cs="宋体"/>
                <w:kern w:val="0"/>
                <w:sz w:val="24"/>
                <w:szCs w:val="24"/>
              </w:rPr>
              <w:t>（1）项目前期材料，包括施工合同（或施工许可证、开工证明、中标通知书等）、项目组成立文件（人员备案表）等。如以重点工程项目申报，需提供市级以上政府或发改委等相关部门的工程审批立项文件等；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（2）项目施工过程中的材料，如</w:t>
            </w:r>
            <w:r>
              <w:rPr>
                <w:rFonts w:hint="eastAsia" w:ascii="宋体" w:hAnsi="宋体" w:eastAsia="宋体" w:cs="宋体"/>
                <w:bCs/>
                <w:kern w:val="0"/>
                <w:sz w:val="24"/>
                <w:szCs w:val="24"/>
              </w:rPr>
              <w:t>施工组织设计</w:t>
            </w:r>
            <w:r>
              <w:rPr>
                <w:rFonts w:hint="eastAsia" w:ascii="宋体" w:hAnsi="宋体" w:eastAsia="宋体" w:cs="宋体"/>
                <w:kern w:val="0"/>
                <w:sz w:val="24"/>
                <w:szCs w:val="24"/>
              </w:rPr>
              <w:t>、专项施工方案、工程联系函、会议纪要（各方责任主体）、分部分项验收记录、施工过程检查记录等；</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（3）项目竣工验收材料，如竣工验收报告、竣工验收备案表等。</w:t>
            </w:r>
          </w:p>
        </w:tc>
      </w:tr>
      <w:tr>
        <w:tblPrEx>
          <w:tblCellMar>
            <w:top w:w="0" w:type="dxa"/>
            <w:left w:w="108" w:type="dxa"/>
            <w:bottom w:w="0" w:type="dxa"/>
            <w:right w:w="108" w:type="dxa"/>
          </w:tblCellMar>
        </w:tblPrEx>
        <w:trPr>
          <w:trHeight w:val="1650"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2.白蚁防治</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（1）项目前期材料，包括合同协议、工程项目信息表；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（2）项目过程中材料，如施工方案、相关图纸、白蚁防治工程记录表等；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（3）项目验收材料，如施工工程验收表，竣工验收报告等。</w:t>
            </w:r>
          </w:p>
        </w:tc>
      </w:tr>
      <w:tr>
        <w:tblPrEx>
          <w:tblCellMar>
            <w:top w:w="0" w:type="dxa"/>
            <w:left w:w="108" w:type="dxa"/>
            <w:bottom w:w="0" w:type="dxa"/>
            <w:right w:w="108" w:type="dxa"/>
          </w:tblCellMar>
        </w:tblPrEx>
        <w:trPr>
          <w:trHeight w:val="690" w:hRule="atLeast"/>
        </w:trPr>
        <w:tc>
          <w:tcPr>
            <w:tcW w:w="9229" w:type="dxa"/>
            <w:gridSpan w:val="2"/>
            <w:tcBorders>
              <w:top w:val="nil"/>
              <w:left w:val="nil"/>
              <w:bottom w:val="nil"/>
              <w:right w:val="nil"/>
            </w:tcBorders>
            <w:shd w:val="clear" w:color="auto" w:fill="auto"/>
            <w:vAlign w:val="center"/>
          </w:tcPr>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jc w:val="left"/>
              <w:rPr>
                <w:rFonts w:ascii="宋体" w:hAnsi="宋体" w:eastAsia="宋体" w:cs="宋体"/>
                <w:kern w:val="0"/>
                <w:sz w:val="24"/>
                <w:szCs w:val="24"/>
              </w:rPr>
            </w:pPr>
            <w:r>
              <w:rPr>
                <w:rFonts w:hint="eastAsia" w:ascii="宋体" w:hAnsi="宋体" w:eastAsia="宋体" w:cs="宋体"/>
                <w:b/>
                <w:bCs/>
                <w:kern w:val="0"/>
                <w:sz w:val="24"/>
                <w:szCs w:val="24"/>
              </w:rPr>
              <w:t>三、工程管理类（</w:t>
            </w:r>
            <w:r>
              <w:rPr>
                <w:rFonts w:hint="eastAsia" w:ascii="宋体" w:hAnsi="宋体" w:eastAsia="宋体" w:cs="宋体"/>
                <w:kern w:val="0"/>
                <w:sz w:val="24"/>
                <w:szCs w:val="24"/>
              </w:rPr>
              <w:t>包括质量安全监督、工程监理、工程造价、建筑管理、建筑经济、技术开发、咨询服务等）</w:t>
            </w:r>
          </w:p>
        </w:tc>
      </w:tr>
      <w:tr>
        <w:tblPrEx>
          <w:tblCellMar>
            <w:top w:w="0" w:type="dxa"/>
            <w:left w:w="108" w:type="dxa"/>
            <w:bottom w:w="0" w:type="dxa"/>
            <w:right w:w="108" w:type="dxa"/>
          </w:tblCellMar>
        </w:tblPrEx>
        <w:trPr>
          <w:trHeight w:val="760"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业绩类型</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业绩佐证材料</w:t>
            </w:r>
          </w:p>
          <w:p>
            <w:pPr>
              <w:widowControl/>
              <w:jc w:val="center"/>
              <w:rPr>
                <w:rFonts w:ascii="宋体" w:hAnsi="宋体" w:eastAsia="宋体" w:cs="宋体"/>
                <w:b/>
                <w:bCs/>
                <w:kern w:val="0"/>
                <w:sz w:val="24"/>
                <w:szCs w:val="24"/>
              </w:rPr>
            </w:pPr>
            <w:r>
              <w:rPr>
                <w:rFonts w:hint="eastAsia" w:ascii="宋体" w:hAnsi="宋体" w:eastAsia="宋体" w:cs="宋体"/>
                <w:b/>
                <w:kern w:val="0"/>
                <w:sz w:val="24"/>
                <w:szCs w:val="24"/>
              </w:rPr>
              <w:t>（须与本人工作经历、职责及专技内容相关，并与申报专业相符合）</w:t>
            </w:r>
          </w:p>
        </w:tc>
      </w:tr>
      <w:tr>
        <w:tblPrEx>
          <w:tblCellMar>
            <w:top w:w="0" w:type="dxa"/>
            <w:left w:w="108" w:type="dxa"/>
            <w:bottom w:w="0" w:type="dxa"/>
            <w:right w:w="108" w:type="dxa"/>
          </w:tblCellMar>
        </w:tblPrEx>
        <w:trPr>
          <w:trHeight w:val="1981"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1.质量安全监督、市场监管</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（1）质量安全监督或监管前期及过程中相关记录材料，如监督（监管）工作计划书等。如以重点工程项目申报，需提供市级以上政府或发改委等相关部门的立项审批文件等；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（2）质量安全监督或监管成果材料，如监督意见书或整改通知书、监督告知表（交底）、工程质量监督报告、市场行为评估报告，竣工验收报告、竣工验收备案表等。</w:t>
            </w:r>
          </w:p>
        </w:tc>
      </w:tr>
      <w:tr>
        <w:tblPrEx>
          <w:tblCellMar>
            <w:top w:w="0" w:type="dxa"/>
            <w:left w:w="108" w:type="dxa"/>
            <w:bottom w:w="0" w:type="dxa"/>
            <w:right w:w="108" w:type="dxa"/>
          </w:tblCellMar>
        </w:tblPrEx>
        <w:trPr>
          <w:trHeight w:val="1970"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2.建设单位、房地产开发</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（1）项目前期材料，包括立项审批材料、项目组成立相关文件（人员备案表）、可行性研究报告等。如以重点工程项目申报，需提供市级以上政府或发改委等相关部门的立项审批文件等；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（2）项目过程中材料，如工程联系函，审查报告，分部工程、隐蔽工程验收记录，会议纪要（各方责任主体）、施工图审查合格证书等；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（3）项目竣工验收材料，如竣工验收报告、竣工验收备案表等。　</w:t>
            </w:r>
          </w:p>
        </w:tc>
      </w:tr>
      <w:tr>
        <w:tblPrEx>
          <w:tblCellMar>
            <w:top w:w="0" w:type="dxa"/>
            <w:left w:w="108" w:type="dxa"/>
            <w:bottom w:w="0" w:type="dxa"/>
            <w:right w:w="108" w:type="dxa"/>
          </w:tblCellMar>
        </w:tblPrEx>
        <w:trPr>
          <w:trHeight w:val="1551"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3.工程监理</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（1）项目前期材料，包括监理合同、申报人监理资格证书等。如以重点工程项目申报，需提供市级以上政府或发改委等相关部门的工程审批立项文件等；</w:t>
            </w:r>
            <w:r>
              <w:rPr>
                <w:rFonts w:hint="eastAsia" w:ascii="宋体" w:hAnsi="宋体" w:eastAsia="宋体" w:cs="宋体"/>
                <w:kern w:val="0"/>
                <w:sz w:val="24"/>
                <w:szCs w:val="24"/>
              </w:rPr>
              <w:br w:type="page"/>
            </w:r>
          </w:p>
          <w:p>
            <w:pPr>
              <w:widowControl/>
              <w:jc w:val="left"/>
              <w:rPr>
                <w:rFonts w:ascii="宋体" w:hAnsi="宋体" w:eastAsia="宋体" w:cs="宋体"/>
                <w:kern w:val="0"/>
                <w:sz w:val="24"/>
                <w:szCs w:val="24"/>
              </w:rPr>
            </w:pPr>
            <w:r>
              <w:rPr>
                <w:rFonts w:hint="eastAsia" w:ascii="宋体" w:hAnsi="宋体" w:eastAsia="宋体" w:cs="宋体"/>
                <w:kern w:val="0"/>
                <w:sz w:val="24"/>
                <w:szCs w:val="24"/>
              </w:rPr>
              <w:t>（2）项目过程中材料，如监理日志、监理会议纪要、监理整改通知书等；</w:t>
            </w:r>
            <w:r>
              <w:rPr>
                <w:rFonts w:hint="eastAsia" w:ascii="宋体" w:hAnsi="宋体" w:eastAsia="宋体" w:cs="宋体"/>
                <w:kern w:val="0"/>
                <w:sz w:val="24"/>
                <w:szCs w:val="24"/>
              </w:rPr>
              <w:br w:type="page"/>
            </w:r>
          </w:p>
          <w:p>
            <w:pPr>
              <w:widowControl/>
              <w:jc w:val="left"/>
              <w:rPr>
                <w:rFonts w:ascii="宋体" w:hAnsi="宋体" w:eastAsia="宋体" w:cs="宋体"/>
                <w:kern w:val="0"/>
                <w:sz w:val="24"/>
                <w:szCs w:val="24"/>
              </w:rPr>
            </w:pPr>
            <w:r>
              <w:rPr>
                <w:rFonts w:hint="eastAsia" w:ascii="宋体" w:hAnsi="宋体" w:eastAsia="宋体" w:cs="宋体"/>
                <w:kern w:val="0"/>
                <w:sz w:val="24"/>
                <w:szCs w:val="24"/>
              </w:rPr>
              <w:t>（3）项目竣工验收材料，如监理手册、竣工验收报告、竣工验收备案表等。　</w:t>
            </w:r>
          </w:p>
        </w:tc>
      </w:tr>
      <w:tr>
        <w:tblPrEx>
          <w:tblCellMar>
            <w:top w:w="0" w:type="dxa"/>
            <w:left w:w="108" w:type="dxa"/>
            <w:bottom w:w="0" w:type="dxa"/>
            <w:right w:w="108" w:type="dxa"/>
          </w:tblCellMar>
        </w:tblPrEx>
        <w:trPr>
          <w:trHeight w:val="1153"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4.工程造价清单编制及审核、招标投标、工程项目审计等</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（1）项目前期材料，包括合同协议或中标通知书、立项材料等；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（2）项目成果材料，如清单控制价、预决算、结算审核、审计报告、概算书等。　</w:t>
            </w:r>
          </w:p>
        </w:tc>
      </w:tr>
      <w:tr>
        <w:tblPrEx>
          <w:tblCellMar>
            <w:top w:w="0" w:type="dxa"/>
            <w:left w:w="108" w:type="dxa"/>
            <w:bottom w:w="0" w:type="dxa"/>
            <w:right w:w="108" w:type="dxa"/>
          </w:tblCellMar>
        </w:tblPrEx>
        <w:trPr>
          <w:trHeight w:val="1393"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5.工程咨询、评估、设计审查</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（1）项目前期材料，包括合同协议或中标通知书、立项材料等；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（2）项目成果材料，如项目建议书、可行性研究报告、初步设计文稿等；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（3）项目验收材料，如发改委的批复文件、专家评审意见等。</w:t>
            </w:r>
          </w:p>
        </w:tc>
      </w:tr>
      <w:tr>
        <w:tblPrEx>
          <w:tblCellMar>
            <w:top w:w="0" w:type="dxa"/>
            <w:left w:w="108" w:type="dxa"/>
            <w:bottom w:w="0" w:type="dxa"/>
            <w:right w:w="108" w:type="dxa"/>
          </w:tblCellMar>
        </w:tblPrEx>
        <w:trPr>
          <w:trHeight w:val="111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6.工程造价定额</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（1）项目前期材料，包括组织单位加盖公章的的任务分配方案等；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（2）项目成果材料，如工程造价定额及组织单位加盖公章的本人编写内容的证明材料等。　</w:t>
            </w:r>
          </w:p>
        </w:tc>
      </w:tr>
      <w:tr>
        <w:tblPrEx>
          <w:tblCellMar>
            <w:top w:w="0" w:type="dxa"/>
            <w:left w:w="108" w:type="dxa"/>
            <w:bottom w:w="0" w:type="dxa"/>
            <w:right w:w="108" w:type="dxa"/>
          </w:tblCellMar>
        </w:tblPrEx>
        <w:trPr>
          <w:trHeight w:val="706"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7.工程质量检测、监测</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（1）前期材料，包括检测或监测合同协议等；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（2）成果材料，如检测或监测报告等。　</w:t>
            </w:r>
          </w:p>
        </w:tc>
      </w:tr>
      <w:tr>
        <w:tblPrEx>
          <w:tblCellMar>
            <w:top w:w="0" w:type="dxa"/>
            <w:left w:w="108" w:type="dxa"/>
            <w:bottom w:w="0" w:type="dxa"/>
            <w:right w:w="108" w:type="dxa"/>
          </w:tblCellMar>
        </w:tblPrEx>
        <w:trPr>
          <w:trHeight w:val="1116"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8.工程技术管理、技术改造、技术创新等</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（1）项目前期材料，包括合同协议、审批立项材料等；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（2）项目过程中的材料，如工作联系函、会议纪要、整改记录等；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（3）项目验收材料，如验收报告、批复文件等。</w:t>
            </w:r>
          </w:p>
        </w:tc>
      </w:tr>
      <w:tr>
        <w:tblPrEx>
          <w:tblCellMar>
            <w:top w:w="0" w:type="dxa"/>
            <w:left w:w="108" w:type="dxa"/>
            <w:bottom w:w="0" w:type="dxa"/>
            <w:right w:w="108" w:type="dxa"/>
          </w:tblCellMar>
        </w:tblPrEx>
        <w:trPr>
          <w:trHeight w:val="615" w:hRule="atLeast"/>
        </w:trPr>
        <w:tc>
          <w:tcPr>
            <w:tcW w:w="9229"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4"/>
                <w:szCs w:val="24"/>
              </w:rPr>
            </w:pPr>
          </w:p>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四、工程科研类</w:t>
            </w:r>
          </w:p>
          <w:p>
            <w:pPr>
              <w:widowControl/>
              <w:jc w:val="center"/>
              <w:rPr>
                <w:rFonts w:ascii="宋体" w:hAnsi="宋体" w:eastAsia="宋体" w:cs="宋体"/>
                <w:b/>
                <w:bCs/>
                <w:kern w:val="0"/>
                <w:sz w:val="24"/>
                <w:szCs w:val="24"/>
              </w:rPr>
            </w:pPr>
          </w:p>
        </w:tc>
      </w:tr>
      <w:tr>
        <w:tblPrEx>
          <w:tblCellMar>
            <w:top w:w="0" w:type="dxa"/>
            <w:left w:w="108" w:type="dxa"/>
            <w:bottom w:w="0" w:type="dxa"/>
            <w:right w:w="108" w:type="dxa"/>
          </w:tblCellMar>
        </w:tblPrEx>
        <w:trPr>
          <w:trHeight w:val="720"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业绩类型</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业绩佐证材料</w:t>
            </w:r>
          </w:p>
          <w:p>
            <w:pPr>
              <w:widowControl/>
              <w:jc w:val="center"/>
              <w:rPr>
                <w:rFonts w:ascii="宋体" w:hAnsi="宋体" w:eastAsia="宋体" w:cs="宋体"/>
                <w:b/>
                <w:bCs/>
                <w:kern w:val="0"/>
                <w:sz w:val="24"/>
                <w:szCs w:val="24"/>
              </w:rPr>
            </w:pPr>
            <w:r>
              <w:rPr>
                <w:rFonts w:hint="eastAsia" w:ascii="宋体" w:hAnsi="宋体" w:eastAsia="宋体" w:cs="宋体"/>
                <w:b/>
                <w:kern w:val="0"/>
                <w:sz w:val="24"/>
                <w:szCs w:val="24"/>
              </w:rPr>
              <w:t>（须与本人工作经历、职责及专技内容相关，并与申报专业相符合）</w:t>
            </w:r>
          </w:p>
        </w:tc>
      </w:tr>
      <w:tr>
        <w:tblPrEx>
          <w:tblCellMar>
            <w:top w:w="0" w:type="dxa"/>
            <w:left w:w="108" w:type="dxa"/>
            <w:bottom w:w="0" w:type="dxa"/>
            <w:right w:w="108" w:type="dxa"/>
          </w:tblCellMar>
        </w:tblPrEx>
        <w:trPr>
          <w:trHeight w:val="196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1.标准、规范、规程、标准图集、施工工法等</w:t>
            </w:r>
          </w:p>
        </w:tc>
        <w:tc>
          <w:tcPr>
            <w:tcW w:w="708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（1）前期立项材料，包括立项批文或授权委托书、第一主编单位加盖公章的任务分配方案等等；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（2）成果材料，如标准、规范、规程、图集、工法等文本材料，及通过省级以上行业主管部门审定后正式颁布实施的相关文件、证书、正式出版物等。　</w:t>
            </w:r>
          </w:p>
        </w:tc>
      </w:tr>
      <w:tr>
        <w:tblPrEx>
          <w:tblCellMar>
            <w:top w:w="0" w:type="dxa"/>
            <w:left w:w="108" w:type="dxa"/>
            <w:bottom w:w="0" w:type="dxa"/>
            <w:right w:w="108" w:type="dxa"/>
          </w:tblCellMar>
        </w:tblPrEx>
        <w:trPr>
          <w:trHeight w:val="1734"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2.科技成果</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（1）前期材料，包括立项材料等；</w:t>
            </w:r>
          </w:p>
          <w:p>
            <w:pPr>
              <w:widowControl/>
              <w:rPr>
                <w:rFonts w:ascii="宋体" w:hAnsi="宋体" w:eastAsia="宋体" w:cs="宋体"/>
                <w:kern w:val="0"/>
                <w:sz w:val="24"/>
                <w:szCs w:val="24"/>
              </w:rPr>
            </w:pPr>
            <w:r>
              <w:rPr>
                <w:rFonts w:hint="eastAsia" w:ascii="宋体" w:hAnsi="宋体" w:eastAsia="宋体" w:cs="宋体"/>
                <w:kern w:val="0"/>
                <w:sz w:val="24"/>
                <w:szCs w:val="24"/>
              </w:rPr>
              <w:br w:type="page"/>
            </w:r>
            <w:r>
              <w:rPr>
                <w:rFonts w:hint="eastAsia" w:ascii="宋体" w:hAnsi="宋体" w:eastAsia="宋体" w:cs="宋体"/>
                <w:kern w:val="0"/>
                <w:sz w:val="24"/>
                <w:szCs w:val="24"/>
              </w:rPr>
              <w:t>（2）科技成果，如科技成果内容及能证明本人参与部分的证明材料等；</w:t>
            </w:r>
            <w:r>
              <w:rPr>
                <w:rFonts w:hint="eastAsia" w:ascii="宋体" w:hAnsi="宋体" w:eastAsia="宋体" w:cs="宋体"/>
                <w:kern w:val="0"/>
                <w:sz w:val="24"/>
                <w:szCs w:val="24"/>
              </w:rPr>
              <w:br w:type="page"/>
            </w:r>
          </w:p>
          <w:p>
            <w:pPr>
              <w:widowControl/>
              <w:jc w:val="left"/>
              <w:rPr>
                <w:rFonts w:ascii="宋体" w:hAnsi="宋体" w:eastAsia="宋体" w:cs="宋体"/>
                <w:kern w:val="0"/>
                <w:sz w:val="24"/>
                <w:szCs w:val="24"/>
              </w:rPr>
            </w:pPr>
            <w:r>
              <w:rPr>
                <w:rFonts w:hint="eastAsia" w:ascii="宋体" w:hAnsi="宋体" w:eastAsia="宋体" w:cs="宋体"/>
                <w:kern w:val="0"/>
                <w:sz w:val="24"/>
                <w:szCs w:val="24"/>
              </w:rPr>
              <w:t>（3）成果验收或第三方评价材料，如科技奖获奖证书及文件、科技成果评价证书、验收意见、成果登记证书等。</w:t>
            </w:r>
          </w:p>
        </w:tc>
      </w:tr>
      <w:tr>
        <w:tblPrEx>
          <w:tblCellMar>
            <w:top w:w="0" w:type="dxa"/>
            <w:left w:w="108" w:type="dxa"/>
            <w:bottom w:w="0" w:type="dxa"/>
            <w:right w:w="108" w:type="dxa"/>
          </w:tblCellMar>
        </w:tblPrEx>
        <w:trPr>
          <w:trHeight w:val="2154"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3.专利</w:t>
            </w:r>
          </w:p>
        </w:tc>
        <w:tc>
          <w:tcPr>
            <w:tcW w:w="708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（1）前期材料，包括申报专利的有关立项材料；</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（2）成果材料，如国家发明专利证书或实用新型专利证书及专利说明书、国家知识产权局专利系统查询截图；</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（3）取得经济效益和社会效益的证明材料，包括专利实施许可合同或转让协议，及专利实施单位财务部门、税务部门、专利管理部门出具的专利收入及利税证明材料等。　</w:t>
            </w:r>
          </w:p>
        </w:tc>
      </w:tr>
      <w:tr>
        <w:tblPrEx>
          <w:tblCellMar>
            <w:top w:w="0" w:type="dxa"/>
            <w:left w:w="108" w:type="dxa"/>
            <w:bottom w:w="0" w:type="dxa"/>
            <w:right w:w="108" w:type="dxa"/>
          </w:tblCellMar>
        </w:tblPrEx>
        <w:trPr>
          <w:trHeight w:val="2074"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4.课题、科研项目</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（1）前期立项材料，包括合同协议，立项申请书、立项批文（授权委托书），项目主编单位加盖公章的任务分配方案等；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（2）成果材料，如结题报告及组织单位出具的加盖公章的本人参与内容的证明材料等；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（3）成果验收或第三方评价材料，如结项证明材料、验收报告、专家评审意见等。　</w:t>
            </w:r>
          </w:p>
        </w:tc>
      </w:tr>
      <w:tr>
        <w:tblPrEx>
          <w:tblCellMar>
            <w:top w:w="0" w:type="dxa"/>
            <w:left w:w="108" w:type="dxa"/>
            <w:bottom w:w="0" w:type="dxa"/>
            <w:right w:w="108" w:type="dxa"/>
          </w:tblCellMar>
        </w:tblPrEx>
        <w:trPr>
          <w:trHeight w:val="555" w:hRule="atLeast"/>
        </w:trPr>
        <w:tc>
          <w:tcPr>
            <w:tcW w:w="9229" w:type="dxa"/>
            <w:gridSpan w:val="2"/>
            <w:tcBorders>
              <w:top w:val="nil"/>
              <w:left w:val="nil"/>
              <w:right w:val="nil"/>
            </w:tcBorders>
            <w:shd w:val="clear" w:color="auto" w:fill="auto"/>
            <w:vAlign w:val="center"/>
          </w:tcPr>
          <w:p>
            <w:pPr>
              <w:widowControl/>
              <w:jc w:val="center"/>
              <w:rPr>
                <w:rFonts w:ascii="宋体" w:hAnsi="宋体" w:eastAsia="宋体" w:cs="宋体"/>
                <w:b/>
                <w:bCs/>
                <w:kern w:val="0"/>
                <w:sz w:val="24"/>
                <w:szCs w:val="24"/>
              </w:rPr>
            </w:pPr>
          </w:p>
        </w:tc>
      </w:tr>
      <w:tr>
        <w:tblPrEx>
          <w:tblCellMar>
            <w:top w:w="0" w:type="dxa"/>
            <w:left w:w="108" w:type="dxa"/>
            <w:bottom w:w="0" w:type="dxa"/>
            <w:right w:w="108" w:type="dxa"/>
          </w:tblCellMar>
        </w:tblPrEx>
        <w:trPr>
          <w:trHeight w:val="991" w:hRule="atLeast"/>
        </w:trPr>
        <w:tc>
          <w:tcPr>
            <w:tcW w:w="9229" w:type="dxa"/>
            <w:gridSpan w:val="2"/>
            <w:shd w:val="clear" w:color="auto" w:fill="auto"/>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说明：</w:t>
            </w:r>
          </w:p>
          <w:p>
            <w:pPr>
              <w:widowControl/>
              <w:jc w:val="left"/>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所列</w:t>
            </w:r>
            <w:r>
              <w:rPr>
                <w:rFonts w:hint="eastAsia" w:ascii="宋体" w:hAnsi="宋体" w:eastAsia="宋体" w:cs="宋体"/>
                <w:b/>
                <w:kern w:val="0"/>
                <w:sz w:val="24"/>
                <w:szCs w:val="24"/>
              </w:rPr>
              <w:t>佐证</w:t>
            </w:r>
            <w:r>
              <w:rPr>
                <w:rFonts w:ascii="宋体" w:hAnsi="宋体" w:eastAsia="宋体" w:cs="宋体"/>
                <w:b/>
                <w:kern w:val="0"/>
                <w:sz w:val="24"/>
                <w:szCs w:val="24"/>
              </w:rPr>
              <w:t>材料清单仅供参考，</w:t>
            </w:r>
            <w:r>
              <w:rPr>
                <w:rFonts w:hint="eastAsia" w:ascii="宋体" w:hAnsi="宋体" w:eastAsia="宋体" w:cs="宋体"/>
                <w:b/>
                <w:kern w:val="0"/>
                <w:sz w:val="24"/>
                <w:szCs w:val="24"/>
              </w:rPr>
              <w:t>提供的业绩材料应能反映本人参与的程度、过程、业绩规模和成果水平等关键性指标和内容；</w:t>
            </w:r>
          </w:p>
          <w:p>
            <w:pPr>
              <w:widowControl/>
              <w:jc w:val="left"/>
              <w:rPr>
                <w:rFonts w:ascii="宋体" w:hAnsi="宋体" w:eastAsia="宋体" w:cs="宋体"/>
                <w:b/>
                <w:kern w:val="0"/>
                <w:sz w:val="24"/>
                <w:szCs w:val="24"/>
              </w:rPr>
            </w:pPr>
            <w:r>
              <w:rPr>
                <w:rFonts w:hint="eastAsia" w:ascii="宋体" w:hAnsi="宋体" w:eastAsia="宋体" w:cs="宋体"/>
                <w:b/>
                <w:kern w:val="0"/>
                <w:sz w:val="24"/>
                <w:szCs w:val="24"/>
              </w:rPr>
              <w:t>2.对两人或两人以上完成的表彰奖励、发明创造、学术技术成果、专业技术项目等，申报人应一并如实提供本人在其中所做的工作内容，所起的作用及排名的相关证明材料；</w:t>
            </w:r>
          </w:p>
          <w:p>
            <w:pPr>
              <w:widowControl/>
              <w:jc w:val="left"/>
              <w:rPr>
                <w:rFonts w:ascii="宋体" w:hAnsi="宋体" w:eastAsia="宋体" w:cs="宋体"/>
                <w:b/>
                <w:kern w:val="0"/>
                <w:sz w:val="24"/>
                <w:szCs w:val="24"/>
              </w:rPr>
            </w:pPr>
            <w:r>
              <w:rPr>
                <w:rFonts w:hint="eastAsia" w:ascii="宋体" w:hAnsi="宋体" w:eastAsia="宋体" w:cs="宋体"/>
                <w:b/>
                <w:kern w:val="0"/>
                <w:sz w:val="24"/>
                <w:szCs w:val="24"/>
              </w:rPr>
              <w:t>3.未尽事宜以《安徽省建设工程专业技术资格评审标准条件》等有关规定为准。</w:t>
            </w:r>
          </w:p>
        </w:tc>
      </w:tr>
    </w:tbl>
    <w:p>
      <w:pP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44" w:lineRule="atLeast"/>
        <w:ind w:right="120"/>
        <w:rPr>
          <w:rFonts w:hint="eastAsia" w:ascii="仿宋_GB2312" w:hAnsi="微软雅黑" w:eastAsia="仿宋_GB2312" w:cs="仿宋_GB2312"/>
          <w:i w:val="0"/>
          <w:iCs w:val="0"/>
          <w:caps w:val="0"/>
          <w:color w:val="3D4B64"/>
          <w:spacing w:val="0"/>
          <w:sz w:val="25"/>
          <w:szCs w:val="25"/>
          <w:shd w:val="clear" w:fill="FFFFFF"/>
          <w:lang w:val="en-US" w:eastAsia="zh-CN"/>
        </w:rPr>
      </w:pPr>
    </w:p>
    <w:p>
      <w:pPr>
        <w:jc w:val="left"/>
        <w:outlineLvl w:val="0"/>
        <w:rPr>
          <w:rFonts w:ascii="仿宋_GB2312" w:hAnsi="华文中宋" w:eastAsia="仿宋_GB2312" w:cs="方正小标宋_GBK"/>
          <w:sz w:val="32"/>
          <w:szCs w:val="32"/>
        </w:rPr>
      </w:pPr>
      <w:bookmarkStart w:id="0" w:name="_Toc699"/>
      <w:r>
        <w:rPr>
          <w:rFonts w:hint="eastAsia" w:ascii="仿宋_GB2312" w:hAnsi="华文中宋" w:eastAsia="仿宋_GB2312" w:cs="方正小标宋_GBK"/>
          <w:sz w:val="32"/>
          <w:szCs w:val="32"/>
        </w:rPr>
        <w:t>附件2</w:t>
      </w:r>
    </w:p>
    <w:p>
      <w:pPr>
        <w:jc w:val="center"/>
        <w:outlineLvl w:val="0"/>
        <w:rPr>
          <w:rFonts w:ascii="华文中宋" w:hAnsi="华文中宋" w:eastAsia="华文中宋" w:cs="方正小标宋_GBK"/>
          <w:sz w:val="32"/>
          <w:szCs w:val="32"/>
        </w:rPr>
      </w:pPr>
      <w:r>
        <w:rPr>
          <w:rFonts w:hint="eastAsia" w:ascii="华文中宋" w:hAnsi="华文中宋" w:eastAsia="华文中宋" w:cs="方正小标宋_GBK"/>
          <w:sz w:val="32"/>
          <w:szCs w:val="32"/>
        </w:rPr>
        <w:t>建设工程项目规模认定参考标准</w:t>
      </w:r>
    </w:p>
    <w:p>
      <w:pPr>
        <w:jc w:val="center"/>
        <w:outlineLvl w:val="0"/>
        <w:rPr>
          <w:rFonts w:ascii="黑体" w:hAnsi="黑体" w:eastAsia="黑体" w:cs="方正黑体_GBK"/>
          <w:sz w:val="28"/>
          <w:szCs w:val="28"/>
        </w:rPr>
      </w:pPr>
      <w:r>
        <w:rPr>
          <w:rFonts w:hint="eastAsia" w:ascii="黑体" w:hAnsi="黑体" w:eastAsia="黑体" w:cs="方正黑体_GBK"/>
          <w:sz w:val="28"/>
          <w:szCs w:val="28"/>
        </w:rPr>
        <w:t>一、建筑工程专业</w:t>
      </w:r>
      <w:bookmarkEnd w:id="0"/>
    </w:p>
    <w:tbl>
      <w:tblPr>
        <w:tblStyle w:val="5"/>
        <w:tblW w:w="10204" w:type="dxa"/>
        <w:jc w:val="center"/>
        <w:tblLayout w:type="fixed"/>
        <w:tblCellMar>
          <w:top w:w="113" w:type="dxa"/>
          <w:left w:w="57" w:type="dxa"/>
          <w:bottom w:w="57" w:type="dxa"/>
          <w:right w:w="57" w:type="dxa"/>
        </w:tblCellMar>
      </w:tblPr>
      <w:tblGrid>
        <w:gridCol w:w="567"/>
        <w:gridCol w:w="850"/>
        <w:gridCol w:w="850"/>
        <w:gridCol w:w="6803"/>
        <w:gridCol w:w="1134"/>
      </w:tblGrid>
      <w:tr>
        <w:tblPrEx>
          <w:tblCellMar>
            <w:top w:w="113" w:type="dxa"/>
            <w:left w:w="57" w:type="dxa"/>
            <w:bottom w:w="57" w:type="dxa"/>
            <w:right w:w="57" w:type="dxa"/>
          </w:tblCellMar>
        </w:tblPrEx>
        <w:trPr>
          <w:trHeight w:val="658" w:hRule="atLeast"/>
          <w:tblHeader/>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类型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规模</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参考标准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备注</w:t>
            </w:r>
          </w:p>
        </w:tc>
      </w:tr>
      <w:tr>
        <w:tblPrEx>
          <w:tblCellMar>
            <w:top w:w="113" w:type="dxa"/>
            <w:left w:w="57" w:type="dxa"/>
            <w:bottom w:w="57" w:type="dxa"/>
            <w:right w:w="57" w:type="dxa"/>
          </w:tblCellMar>
        </w:tblPrEx>
        <w:trPr>
          <w:trHeight w:val="3130"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color w:val="000000" w:themeColor="text1"/>
                <w:kern w:val="0"/>
                <w:sz w:val="20"/>
                <w:szCs w:val="20"/>
                <w14:textFill>
                  <w14:solidFill>
                    <w14:schemeClr w14:val="tx1"/>
                  </w14:solidFill>
                </w14:textFill>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color w:val="000000" w:themeColor="text1"/>
                <w:kern w:val="0"/>
                <w:sz w:val="20"/>
                <w:szCs w:val="20"/>
                <w14:textFill>
                  <w14:solidFill>
                    <w14:schemeClr w14:val="tx1"/>
                  </w14:solidFill>
                </w14:textFill>
              </w:rPr>
              <w:t>一般公共建筑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themeColor="text1"/>
                <w:kern w:val="0"/>
                <w:sz w:val="20"/>
                <w:szCs w:val="20"/>
                <w14:textFill>
                  <w14:solidFill>
                    <w14:schemeClr w14:val="tx1"/>
                  </w14:solidFill>
                </w14:textFill>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themeColor="text1"/>
                <w:kern w:val="0"/>
                <w:sz w:val="20"/>
                <w:szCs w:val="20"/>
                <w14:textFill>
                  <w14:solidFill>
                    <w14:schemeClr w14:val="tx1"/>
                  </w14:solidFill>
                </w14:textFill>
              </w:rPr>
              <w:t>符合下列条件之一 ：</w:t>
            </w:r>
            <w:r>
              <w:rPr>
                <w:rFonts w:hint="eastAsia" w:asciiTheme="minorEastAsia" w:hAnsiTheme="minorEastAsia" w:cstheme="minorEastAsia"/>
                <w:color w:val="000000" w:themeColor="text1"/>
                <w:kern w:val="0"/>
                <w:sz w:val="20"/>
                <w:szCs w:val="20"/>
                <w14:textFill>
                  <w14:solidFill>
                    <w14:schemeClr w14:val="tx1"/>
                  </w14:solidFill>
                </w14:textFill>
              </w:rPr>
              <w:br w:type="textWrapping"/>
            </w:r>
            <w:r>
              <w:rPr>
                <w:rFonts w:hint="eastAsia" w:asciiTheme="minorEastAsia" w:hAnsiTheme="minorEastAsia" w:cstheme="minorEastAsia"/>
                <w:color w:val="000000" w:themeColor="text1"/>
                <w:kern w:val="0"/>
                <w:sz w:val="20"/>
                <w:szCs w:val="20"/>
                <w14:textFill>
                  <w14:solidFill>
                    <w14:schemeClr w14:val="tx1"/>
                  </w14:solidFill>
                </w14:textFill>
              </w:rPr>
              <w:t>（1）地上25层以上的建筑；</w:t>
            </w:r>
            <w:r>
              <w:rPr>
                <w:rFonts w:hint="eastAsia" w:asciiTheme="minorEastAsia" w:hAnsiTheme="minorEastAsia" w:cstheme="minorEastAsia"/>
                <w:color w:val="000000" w:themeColor="text1"/>
                <w:kern w:val="0"/>
                <w:sz w:val="20"/>
                <w:szCs w:val="20"/>
                <w14:textFill>
                  <w14:solidFill>
                    <w14:schemeClr w14:val="tx1"/>
                  </w14:solidFill>
                </w14:textFill>
              </w:rPr>
              <w:br w:type="textWrapping"/>
            </w:r>
            <w:r>
              <w:rPr>
                <w:rFonts w:hint="eastAsia" w:asciiTheme="minorEastAsia" w:hAnsiTheme="minorEastAsia" w:cstheme="minorEastAsia"/>
                <w:color w:val="000000" w:themeColor="text1"/>
                <w:kern w:val="0"/>
                <w:sz w:val="20"/>
                <w:szCs w:val="20"/>
                <w14:textFill>
                  <w14:solidFill>
                    <w14:schemeClr w14:val="tx1"/>
                  </w14:solidFill>
                </w14:textFill>
              </w:rPr>
              <w:t>（2</w:t>
            </w:r>
            <w:r>
              <w:rPr>
                <w:rFonts w:hint="eastAsia" w:asciiTheme="minorEastAsia" w:hAnsiTheme="minorEastAsia" w:cstheme="minorEastAsia"/>
                <w:color w:val="000000" w:themeColor="text1"/>
                <w:spacing w:val="9"/>
                <w:kern w:val="0"/>
                <w:sz w:val="20"/>
                <w:szCs w:val="20"/>
                <w14:textFill>
                  <w14:solidFill>
                    <w14:schemeClr w14:val="tx1"/>
                  </w14:solidFill>
                </w14:textFill>
              </w:rPr>
              <w:t>）</w:t>
            </w:r>
            <w:r>
              <w:rPr>
                <w:rFonts w:hint="eastAsia" w:asciiTheme="minorEastAsia" w:hAnsiTheme="minorEastAsia" w:cstheme="minorEastAsia"/>
                <w:color w:val="000000" w:themeColor="text1"/>
                <w:kern w:val="0"/>
                <w:sz w:val="20"/>
                <w:szCs w:val="20"/>
                <w14:textFill>
                  <w14:solidFill>
                    <w14:schemeClr w14:val="tx1"/>
                  </w14:solidFill>
                </w14:textFill>
              </w:rPr>
              <w:t>高度100m以上的构筑物或建筑物；</w:t>
            </w:r>
            <w:r>
              <w:rPr>
                <w:rFonts w:hint="eastAsia" w:asciiTheme="minorEastAsia" w:hAnsiTheme="minorEastAsia" w:cstheme="minorEastAsia"/>
                <w:color w:val="000000" w:themeColor="text1"/>
                <w:kern w:val="0"/>
                <w:sz w:val="20"/>
                <w:szCs w:val="20"/>
                <w14:textFill>
                  <w14:solidFill>
                    <w14:schemeClr w14:val="tx1"/>
                  </w14:solidFill>
                </w14:textFill>
              </w:rPr>
              <w:br w:type="textWrapping"/>
            </w:r>
            <w:r>
              <w:rPr>
                <w:rFonts w:hint="eastAsia" w:asciiTheme="minorEastAsia" w:hAnsiTheme="minorEastAsia" w:cstheme="minorEastAsia"/>
                <w:color w:val="000000" w:themeColor="text1"/>
                <w:kern w:val="0"/>
                <w:sz w:val="20"/>
                <w:szCs w:val="20"/>
                <w14:textFill>
                  <w14:solidFill>
                    <w14:schemeClr w14:val="tx1"/>
                  </w14:solidFill>
                </w14:textFill>
              </w:rPr>
              <w:t>（3）建筑面积3万m</w:t>
            </w:r>
            <w:r>
              <w:rPr>
                <w:rFonts w:hint="eastAsia" w:asciiTheme="minorEastAsia" w:hAnsiTheme="minorEastAsia" w:cstheme="minorEastAsia"/>
                <w:color w:val="000000" w:themeColor="text1"/>
                <w:kern w:val="0"/>
                <w:sz w:val="20"/>
                <w:szCs w:val="20"/>
                <w:vertAlign w:val="superscript"/>
                <w14:textFill>
                  <w14:solidFill>
                    <w14:schemeClr w14:val="tx1"/>
                  </w14:solidFill>
                </w14:textFill>
              </w:rPr>
              <w:t>2</w:t>
            </w:r>
            <w:r>
              <w:rPr>
                <w:rFonts w:hint="eastAsia" w:asciiTheme="minorEastAsia" w:hAnsiTheme="minorEastAsia" w:cstheme="minorEastAsia"/>
                <w:color w:val="000000" w:themeColor="text1"/>
                <w:kern w:val="0"/>
                <w:sz w:val="20"/>
                <w:szCs w:val="20"/>
                <w14:textFill>
                  <w14:solidFill>
                    <w14:schemeClr w14:val="tx1"/>
                  </w14:solidFill>
                </w14:textFill>
              </w:rPr>
              <w:t>以上的单体建筑；</w:t>
            </w:r>
            <w:r>
              <w:rPr>
                <w:rFonts w:hint="eastAsia" w:asciiTheme="minorEastAsia" w:hAnsiTheme="minorEastAsia" w:cstheme="minorEastAsia"/>
                <w:color w:val="000000" w:themeColor="text1"/>
                <w:kern w:val="0"/>
                <w:sz w:val="20"/>
                <w:szCs w:val="20"/>
                <w14:textFill>
                  <w14:solidFill>
                    <w14:schemeClr w14:val="tx1"/>
                  </w14:solidFill>
                </w14:textFill>
              </w:rPr>
              <w:br w:type="textWrapping"/>
            </w:r>
            <w:r>
              <w:rPr>
                <w:rFonts w:hint="eastAsia" w:asciiTheme="minorEastAsia" w:hAnsiTheme="minorEastAsia" w:cstheme="minorEastAsia"/>
                <w:color w:val="000000" w:themeColor="text1"/>
                <w:kern w:val="0"/>
                <w:sz w:val="20"/>
                <w:szCs w:val="20"/>
                <w14:textFill>
                  <w14:solidFill>
                    <w14:schemeClr w14:val="tx1"/>
                  </w14:solidFill>
                </w14:textFill>
              </w:rPr>
              <w:t>（4）钢筋混凝土结构单跨30m以上的建筑工程；</w:t>
            </w:r>
            <w:r>
              <w:rPr>
                <w:rFonts w:hint="eastAsia" w:asciiTheme="minorEastAsia" w:hAnsiTheme="minorEastAsia" w:cstheme="minorEastAsia"/>
                <w:color w:val="000000" w:themeColor="text1"/>
                <w:kern w:val="0"/>
                <w:sz w:val="20"/>
                <w:szCs w:val="20"/>
                <w14:textFill>
                  <w14:solidFill>
                    <w14:schemeClr w14:val="tx1"/>
                  </w14:solidFill>
                </w14:textFill>
              </w:rPr>
              <w:br w:type="textWrapping"/>
            </w:r>
            <w:r>
              <w:rPr>
                <w:rFonts w:hint="eastAsia" w:asciiTheme="minorEastAsia" w:hAnsiTheme="minorEastAsia" w:cstheme="minorEastAsia"/>
                <w:color w:val="000000" w:themeColor="text1"/>
                <w:kern w:val="0"/>
                <w:sz w:val="20"/>
                <w:szCs w:val="20"/>
                <w14:textFill>
                  <w14:solidFill>
                    <w14:schemeClr w14:val="tx1"/>
                  </w14:solidFill>
                </w14:textFill>
              </w:rPr>
              <w:t>（5）</w:t>
            </w:r>
            <w:r>
              <w:rPr>
                <w:rFonts w:hint="eastAsia" w:asciiTheme="minorEastAsia" w:hAnsiTheme="minorEastAsia" w:cstheme="minorEastAsia"/>
                <w:color w:val="000000" w:themeColor="text1"/>
                <w:spacing w:val="-5"/>
                <w:kern w:val="0"/>
                <w:sz w:val="20"/>
                <w:szCs w:val="20"/>
                <w14:textFill>
                  <w14:solidFill>
                    <w14:schemeClr w14:val="tx1"/>
                  </w14:solidFill>
                </w14:textFill>
              </w:rPr>
              <w:t>钢结构单跨36m以上的建筑工程(不</w:t>
            </w:r>
            <w:r>
              <w:rPr>
                <w:rFonts w:hint="eastAsia" w:asciiTheme="minorEastAsia" w:hAnsiTheme="minorEastAsia" w:cstheme="minorEastAsia"/>
                <w:color w:val="000000" w:themeColor="text1"/>
                <w:kern w:val="0"/>
                <w:sz w:val="20"/>
                <w:szCs w:val="20"/>
                <w14:textFill>
                  <w14:solidFill>
                    <w14:schemeClr w14:val="tx1"/>
                  </w14:solidFill>
                </w14:textFill>
              </w:rPr>
              <w:t>含网壳、网架结构工程）；</w:t>
            </w:r>
            <w:r>
              <w:rPr>
                <w:rFonts w:hint="eastAsia" w:asciiTheme="minorEastAsia" w:hAnsiTheme="minorEastAsia" w:cstheme="minorEastAsia"/>
                <w:color w:val="000000" w:themeColor="text1"/>
                <w:kern w:val="0"/>
                <w:sz w:val="20"/>
                <w:szCs w:val="20"/>
                <w14:textFill>
                  <w14:solidFill>
                    <w14:schemeClr w14:val="tx1"/>
                  </w14:solidFill>
                </w14:textFill>
              </w:rPr>
              <w:br w:type="textWrapping"/>
            </w:r>
            <w:r>
              <w:rPr>
                <w:rFonts w:hint="eastAsia" w:asciiTheme="minorEastAsia" w:hAnsiTheme="minorEastAsia" w:cstheme="minorEastAsia"/>
                <w:color w:val="000000" w:themeColor="text1"/>
                <w:kern w:val="0"/>
                <w:sz w:val="20"/>
                <w:szCs w:val="20"/>
                <w14:textFill>
                  <w14:solidFill>
                    <w14:schemeClr w14:val="tx1"/>
                  </w14:solidFill>
                </w14:textFill>
              </w:rPr>
              <w:t>（6）</w:t>
            </w:r>
            <w:r>
              <w:rPr>
                <w:rFonts w:hint="eastAsia" w:asciiTheme="minorEastAsia" w:hAnsiTheme="minorEastAsia" w:cstheme="minorEastAsia"/>
                <w:color w:val="000000" w:themeColor="text1"/>
                <w:spacing w:val="-3"/>
                <w:kern w:val="0"/>
                <w:sz w:val="20"/>
                <w:szCs w:val="20"/>
                <w14:textFill>
                  <w14:solidFill>
                    <w14:schemeClr w14:val="tx1"/>
                  </w14:solidFill>
                </w14:textFill>
              </w:rPr>
              <w:t>单项建筑造价1亿元以上的建筑工</w:t>
            </w:r>
            <w:r>
              <w:rPr>
                <w:rFonts w:hint="eastAsia" w:asciiTheme="minorEastAsia" w:hAnsiTheme="minorEastAsia" w:cstheme="minorEastAsia"/>
                <w:color w:val="000000" w:themeColor="text1"/>
                <w:kern w:val="0"/>
                <w:sz w:val="20"/>
                <w:szCs w:val="20"/>
                <w14:textFill>
                  <w14:solidFill>
                    <w14:schemeClr w14:val="tx1"/>
                  </w14:solidFill>
                </w14:textFill>
              </w:rPr>
              <w:t xml:space="preserve">程；        </w:t>
            </w:r>
            <w:r>
              <w:rPr>
                <w:rFonts w:hint="eastAsia" w:asciiTheme="minorEastAsia" w:hAnsiTheme="minorEastAsia" w:cstheme="minorEastAsia"/>
                <w:color w:val="000000" w:themeColor="text1"/>
                <w:kern w:val="0"/>
                <w:sz w:val="20"/>
                <w:szCs w:val="20"/>
                <w14:textFill>
                  <w14:solidFill>
                    <w14:schemeClr w14:val="tx1"/>
                  </w14:solidFill>
                </w14:textFill>
              </w:rPr>
              <w:br w:type="textWrapping"/>
            </w:r>
            <w:r>
              <w:rPr>
                <w:rFonts w:hint="eastAsia" w:asciiTheme="minorEastAsia" w:hAnsiTheme="minorEastAsia" w:cstheme="minorEastAsia"/>
                <w:color w:val="000000" w:themeColor="text1"/>
                <w:kern w:val="0"/>
                <w:sz w:val="20"/>
                <w:szCs w:val="20"/>
                <w14:textFill>
                  <w14:solidFill>
                    <w14:schemeClr w14:val="tx1"/>
                  </w14:solidFill>
                </w14:textFill>
              </w:rPr>
              <w:t>（7）单体钢结构工程钢结构重量5000T以上的钢结构工程；</w:t>
            </w:r>
            <w:r>
              <w:rPr>
                <w:rFonts w:hint="eastAsia" w:asciiTheme="minorEastAsia" w:hAnsiTheme="minorEastAsia" w:cstheme="minorEastAsia"/>
                <w:color w:val="000000" w:themeColor="text1"/>
                <w:kern w:val="0"/>
                <w:sz w:val="20"/>
                <w:szCs w:val="20"/>
                <w14:textFill>
                  <w14:solidFill>
                    <w14:schemeClr w14:val="tx1"/>
                  </w14:solidFill>
                </w14:textFill>
              </w:rPr>
              <w:br w:type="textWrapping"/>
            </w:r>
            <w:r>
              <w:rPr>
                <w:rFonts w:hint="eastAsia" w:asciiTheme="minorEastAsia" w:hAnsiTheme="minorEastAsia" w:cstheme="minorEastAsia"/>
                <w:color w:val="000000" w:themeColor="text1"/>
                <w:kern w:val="0"/>
                <w:sz w:val="20"/>
                <w:szCs w:val="20"/>
                <w14:textFill>
                  <w14:solidFill>
                    <w14:schemeClr w14:val="tx1"/>
                  </w14:solidFill>
                </w14:textFill>
              </w:rPr>
              <w:t>（8）网壳、网架结构短边边跨跨度70m以上，且网壳、网架结构重量300T以上，且网壳、网架结构建筑面积5000m</w:t>
            </w:r>
            <w:r>
              <w:rPr>
                <w:rFonts w:hint="eastAsia" w:asciiTheme="minorEastAsia" w:hAnsiTheme="minorEastAsia" w:cstheme="minorEastAsia"/>
                <w:color w:val="000000" w:themeColor="text1"/>
                <w:kern w:val="0"/>
                <w:sz w:val="20"/>
                <w:szCs w:val="20"/>
                <w:vertAlign w:val="superscript"/>
                <w14:textFill>
                  <w14:solidFill>
                    <w14:schemeClr w14:val="tx1"/>
                  </w14:solidFill>
                </w14:textFill>
              </w:rPr>
              <w:t>2</w:t>
            </w:r>
            <w:r>
              <w:rPr>
                <w:rFonts w:hint="eastAsia" w:asciiTheme="minorEastAsia" w:hAnsiTheme="minorEastAsia" w:cstheme="minorEastAsia"/>
                <w:color w:val="000000" w:themeColor="text1"/>
                <w:kern w:val="0"/>
                <w:sz w:val="20"/>
                <w:szCs w:val="20"/>
                <w14:textFill>
                  <w14:solidFill>
                    <w14:schemeClr w14:val="tx1"/>
                  </w14:solidFill>
                </w14:textFill>
              </w:rPr>
              <w:t>以上的网壳、网架工程。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90"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themeColor="text1"/>
                <w:kern w:val="0"/>
                <w:sz w:val="20"/>
                <w:szCs w:val="20"/>
                <w14:textFill>
                  <w14:solidFill>
                    <w14:schemeClr w14:val="tx1"/>
                  </w14:solidFill>
                </w14:textFill>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themeColor="text1"/>
                <w:kern w:val="0"/>
                <w:sz w:val="20"/>
                <w:szCs w:val="20"/>
                <w14:textFill>
                  <w14:solidFill>
                    <w14:schemeClr w14:val="tx1"/>
                  </w14:solidFill>
                </w14:textFill>
              </w:rPr>
              <w:t>符合下列条件之一 ：</w:t>
            </w:r>
            <w:r>
              <w:rPr>
                <w:rFonts w:hint="eastAsia" w:asciiTheme="minorEastAsia" w:hAnsiTheme="minorEastAsia" w:cstheme="minorEastAsia"/>
                <w:color w:val="000000" w:themeColor="text1"/>
                <w:kern w:val="0"/>
                <w:sz w:val="20"/>
                <w:szCs w:val="20"/>
                <w14:textFill>
                  <w14:solidFill>
                    <w14:schemeClr w14:val="tx1"/>
                  </w14:solidFill>
                </w14:textFill>
              </w:rPr>
              <w:br w:type="textWrapping"/>
            </w:r>
            <w:r>
              <w:rPr>
                <w:rFonts w:hint="eastAsia" w:asciiTheme="minorEastAsia" w:hAnsiTheme="minorEastAsia" w:cstheme="minorEastAsia"/>
                <w:color w:val="000000" w:themeColor="text1"/>
                <w:kern w:val="0"/>
                <w:sz w:val="20"/>
                <w:szCs w:val="20"/>
                <w14:textFill>
                  <w14:solidFill>
                    <w14:schemeClr w14:val="tx1"/>
                  </w14:solidFill>
                </w14:textFill>
              </w:rPr>
              <w:t>（1）地上12层以上，25层以下的建筑工程；</w:t>
            </w:r>
            <w:r>
              <w:rPr>
                <w:rFonts w:hint="eastAsia" w:asciiTheme="minorEastAsia" w:hAnsiTheme="minorEastAsia" w:cstheme="minorEastAsia"/>
                <w:color w:val="000000" w:themeColor="text1"/>
                <w:kern w:val="0"/>
                <w:sz w:val="20"/>
                <w:szCs w:val="20"/>
                <w14:textFill>
                  <w14:solidFill>
                    <w14:schemeClr w14:val="tx1"/>
                  </w14:solidFill>
                </w14:textFill>
              </w:rPr>
              <w:br w:type="textWrapping"/>
            </w:r>
            <w:r>
              <w:rPr>
                <w:rFonts w:hint="eastAsia" w:asciiTheme="minorEastAsia" w:hAnsiTheme="minorEastAsia" w:cstheme="minorEastAsia"/>
                <w:color w:val="000000" w:themeColor="text1"/>
                <w:kern w:val="0"/>
                <w:sz w:val="20"/>
                <w:szCs w:val="20"/>
                <w14:textFill>
                  <w14:solidFill>
                    <w14:schemeClr w14:val="tx1"/>
                  </w14:solidFill>
                </w14:textFill>
              </w:rPr>
              <w:t>（2）高度50m以上，100m以下的构筑物或建筑物；</w:t>
            </w:r>
            <w:r>
              <w:rPr>
                <w:rFonts w:hint="eastAsia" w:asciiTheme="minorEastAsia" w:hAnsiTheme="minorEastAsia" w:cstheme="minorEastAsia"/>
                <w:color w:val="000000" w:themeColor="text1"/>
                <w:kern w:val="0"/>
                <w:sz w:val="20"/>
                <w:szCs w:val="20"/>
                <w14:textFill>
                  <w14:solidFill>
                    <w14:schemeClr w14:val="tx1"/>
                  </w14:solidFill>
                </w14:textFill>
              </w:rPr>
              <w:br w:type="textWrapping"/>
            </w:r>
            <w:r>
              <w:rPr>
                <w:rFonts w:hint="eastAsia" w:asciiTheme="minorEastAsia" w:hAnsiTheme="minorEastAsia" w:cstheme="minorEastAsia"/>
                <w:color w:val="000000" w:themeColor="text1"/>
                <w:kern w:val="0"/>
                <w:sz w:val="20"/>
                <w:szCs w:val="20"/>
                <w14:textFill>
                  <w14:solidFill>
                    <w14:schemeClr w14:val="tx1"/>
                  </w14:solidFill>
                </w14:textFill>
              </w:rPr>
              <w:t>（3）</w:t>
            </w:r>
            <w:r>
              <w:rPr>
                <w:rFonts w:hint="eastAsia" w:asciiTheme="minorEastAsia" w:hAnsiTheme="minorEastAsia" w:cstheme="minorEastAsia"/>
                <w:color w:val="000000" w:themeColor="text1"/>
                <w:spacing w:val="-3"/>
                <w:kern w:val="0"/>
                <w:sz w:val="20"/>
                <w:szCs w:val="20"/>
                <w14:textFill>
                  <w14:solidFill>
                    <w14:schemeClr w14:val="tx1"/>
                  </w14:solidFill>
                </w14:textFill>
              </w:rPr>
              <w:t>建筑面积1万m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color w:val="000000" w:themeColor="text1"/>
                <w:spacing w:val="-3"/>
                <w:kern w:val="0"/>
                <w:sz w:val="20"/>
                <w:szCs w:val="20"/>
                <w14:textFill>
                  <w14:solidFill>
                    <w14:schemeClr w14:val="tx1"/>
                  </w14:solidFill>
                </w14:textFill>
              </w:rPr>
              <w:t>以上，3万m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color w:val="000000" w:themeColor="text1"/>
                <w:spacing w:val="-3"/>
                <w:kern w:val="0"/>
                <w:sz w:val="20"/>
                <w:szCs w:val="20"/>
                <w14:textFill>
                  <w14:solidFill>
                    <w14:schemeClr w14:val="tx1"/>
                  </w14:solidFill>
                </w14:textFill>
              </w:rPr>
              <w:t>以下</w:t>
            </w:r>
            <w:r>
              <w:rPr>
                <w:rFonts w:hint="eastAsia" w:asciiTheme="minorEastAsia" w:hAnsiTheme="minorEastAsia" w:cstheme="minorEastAsia"/>
                <w:color w:val="000000" w:themeColor="text1"/>
                <w:kern w:val="0"/>
                <w:sz w:val="20"/>
                <w:szCs w:val="20"/>
                <w14:textFill>
                  <w14:solidFill>
                    <w14:schemeClr w14:val="tx1"/>
                  </w14:solidFill>
                </w14:textFill>
              </w:rPr>
              <w:t>的单体建筑；</w:t>
            </w:r>
            <w:r>
              <w:rPr>
                <w:rFonts w:hint="eastAsia" w:asciiTheme="minorEastAsia" w:hAnsiTheme="minorEastAsia" w:cstheme="minorEastAsia"/>
                <w:color w:val="000000" w:themeColor="text1"/>
                <w:kern w:val="0"/>
                <w:sz w:val="20"/>
                <w:szCs w:val="20"/>
                <w14:textFill>
                  <w14:solidFill>
                    <w14:schemeClr w14:val="tx1"/>
                  </w14:solidFill>
                </w14:textFill>
              </w:rPr>
              <w:br w:type="textWrapping"/>
            </w:r>
            <w:r>
              <w:rPr>
                <w:rFonts w:hint="eastAsia" w:asciiTheme="minorEastAsia" w:hAnsiTheme="minorEastAsia" w:cstheme="minorEastAsia"/>
                <w:color w:val="000000" w:themeColor="text1"/>
                <w:kern w:val="0"/>
                <w:sz w:val="20"/>
                <w:szCs w:val="20"/>
                <w14:textFill>
                  <w14:solidFill>
                    <w14:schemeClr w14:val="tx1"/>
                  </w14:solidFill>
                </w14:textFill>
              </w:rPr>
              <w:t>（4）</w:t>
            </w:r>
            <w:r>
              <w:rPr>
                <w:rFonts w:hint="eastAsia" w:asciiTheme="minorEastAsia" w:hAnsiTheme="minorEastAsia" w:cstheme="minorEastAsia"/>
                <w:color w:val="000000" w:themeColor="text1"/>
                <w:spacing w:val="-4"/>
                <w:kern w:val="0"/>
                <w:sz w:val="20"/>
                <w:szCs w:val="20"/>
                <w14:textFill>
                  <w14:solidFill>
                    <w14:schemeClr w14:val="tx1"/>
                  </w14:solidFill>
                </w14:textFill>
              </w:rPr>
              <w:t>钢筋混凝土结构单跨21m以上，30m</w:t>
            </w:r>
            <w:r>
              <w:rPr>
                <w:rFonts w:hint="eastAsia" w:asciiTheme="minorEastAsia" w:hAnsiTheme="minorEastAsia" w:cstheme="minorEastAsia"/>
                <w:color w:val="000000" w:themeColor="text1"/>
                <w:kern w:val="0"/>
                <w:sz w:val="20"/>
                <w:szCs w:val="20"/>
                <w14:textFill>
                  <w14:solidFill>
                    <w14:schemeClr w14:val="tx1"/>
                  </w14:solidFill>
                </w14:textFill>
              </w:rPr>
              <w:t>以下的建筑工程；</w:t>
            </w:r>
            <w:r>
              <w:rPr>
                <w:rFonts w:hint="eastAsia" w:asciiTheme="minorEastAsia" w:hAnsiTheme="minorEastAsia" w:cstheme="minorEastAsia"/>
                <w:color w:val="000000" w:themeColor="text1"/>
                <w:kern w:val="0"/>
                <w:sz w:val="20"/>
                <w:szCs w:val="20"/>
                <w14:textFill>
                  <w14:solidFill>
                    <w14:schemeClr w14:val="tx1"/>
                  </w14:solidFill>
                </w14:textFill>
              </w:rPr>
              <w:br w:type="textWrapping"/>
            </w:r>
            <w:r>
              <w:rPr>
                <w:rFonts w:hint="eastAsia" w:asciiTheme="minorEastAsia" w:hAnsiTheme="minorEastAsia" w:cstheme="minorEastAsia"/>
                <w:color w:val="000000" w:themeColor="text1"/>
                <w:kern w:val="0"/>
                <w:sz w:val="20"/>
                <w:szCs w:val="20"/>
                <w14:textFill>
                  <w14:solidFill>
                    <w14:schemeClr w14:val="tx1"/>
                  </w14:solidFill>
                </w14:textFill>
              </w:rPr>
              <w:t>（5）钢结构单跨24m以上，36m以下的建筑工程；</w:t>
            </w:r>
            <w:r>
              <w:rPr>
                <w:rFonts w:hint="eastAsia" w:asciiTheme="minorEastAsia" w:hAnsiTheme="minorEastAsia" w:cstheme="minorEastAsia"/>
                <w:color w:val="000000" w:themeColor="text1"/>
                <w:kern w:val="0"/>
                <w:sz w:val="20"/>
                <w:szCs w:val="20"/>
                <w14:textFill>
                  <w14:solidFill>
                    <w14:schemeClr w14:val="tx1"/>
                  </w14:solidFill>
                </w14:textFill>
              </w:rPr>
              <w:br w:type="textWrapping"/>
            </w:r>
            <w:r>
              <w:rPr>
                <w:rFonts w:hint="eastAsia" w:asciiTheme="minorEastAsia" w:hAnsiTheme="minorEastAsia" w:cstheme="minorEastAsia"/>
                <w:color w:val="000000" w:themeColor="text1"/>
                <w:kern w:val="0"/>
                <w:sz w:val="20"/>
                <w:szCs w:val="20"/>
                <w14:textFill>
                  <w14:solidFill>
                    <w14:schemeClr w14:val="tx1"/>
                  </w14:solidFill>
                </w14:textFill>
              </w:rPr>
              <w:t xml:space="preserve">（6）单项建筑造价3000万元以上，1亿元以下的建筑工程；       </w:t>
            </w:r>
            <w:r>
              <w:rPr>
                <w:rFonts w:hint="eastAsia" w:asciiTheme="minorEastAsia" w:hAnsiTheme="minorEastAsia" w:cstheme="minorEastAsia"/>
                <w:color w:val="000000" w:themeColor="text1"/>
                <w:kern w:val="0"/>
                <w:sz w:val="20"/>
                <w:szCs w:val="20"/>
                <w14:textFill>
                  <w14:solidFill>
                    <w14:schemeClr w14:val="tx1"/>
                  </w14:solidFill>
                </w14:textFill>
              </w:rPr>
              <w:br w:type="textWrapping"/>
            </w:r>
            <w:r>
              <w:rPr>
                <w:rFonts w:hint="eastAsia" w:asciiTheme="minorEastAsia" w:hAnsiTheme="minorEastAsia" w:cstheme="minorEastAsia"/>
                <w:color w:val="000000" w:themeColor="text1"/>
                <w:kern w:val="0"/>
                <w:sz w:val="20"/>
                <w:szCs w:val="20"/>
                <w14:textFill>
                  <w14:solidFill>
                    <w14:schemeClr w14:val="tx1"/>
                  </w14:solidFill>
                </w14:textFill>
              </w:rPr>
              <w:t>（7）单体钢结构工程钢结构重量2000T以上，5000T以下的钢结构工程；</w:t>
            </w:r>
            <w:r>
              <w:rPr>
                <w:rFonts w:hint="eastAsia" w:asciiTheme="minorEastAsia" w:hAnsiTheme="minorEastAsia" w:cstheme="minorEastAsia"/>
                <w:color w:val="000000" w:themeColor="text1"/>
                <w:kern w:val="0"/>
                <w:sz w:val="20"/>
                <w:szCs w:val="20"/>
                <w14:textFill>
                  <w14:solidFill>
                    <w14:schemeClr w14:val="tx1"/>
                  </w14:solidFill>
                </w14:textFill>
              </w:rPr>
              <w:br w:type="textWrapping"/>
            </w:r>
            <w:r>
              <w:rPr>
                <w:rFonts w:hint="eastAsia" w:asciiTheme="minorEastAsia" w:hAnsiTheme="minorEastAsia" w:cstheme="minorEastAsia"/>
                <w:color w:val="000000" w:themeColor="text1"/>
                <w:kern w:val="0"/>
                <w:sz w:val="20"/>
                <w:szCs w:val="20"/>
                <w14:textFill>
                  <w14:solidFill>
                    <w14:schemeClr w14:val="tx1"/>
                  </w14:solidFill>
                </w14:textFill>
              </w:rPr>
              <w:t>（8）网壳、网架结构短边边跨跨度30m以上，70m以下，且网壳、网架结构重量100T以上，且网壳、网架结构建筑面积1000</w:t>
            </w:r>
            <w:r>
              <w:rPr>
                <w:rFonts w:hint="eastAsia" w:asciiTheme="minorEastAsia" w:hAnsiTheme="minorEastAsia" w:cstheme="minorEastAsia"/>
                <w:color w:val="000000" w:themeColor="text1"/>
                <w:spacing w:val="-3"/>
                <w:kern w:val="0"/>
                <w:sz w:val="20"/>
                <w:szCs w:val="20"/>
                <w14:textFill>
                  <w14:solidFill>
                    <w14:schemeClr w14:val="tx1"/>
                  </w14:solidFill>
                </w14:textFill>
              </w:rPr>
              <w:t xml:space="preserve"> 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color w:val="000000" w:themeColor="text1"/>
                <w:kern w:val="0"/>
                <w:sz w:val="20"/>
                <w:szCs w:val="20"/>
                <w14:textFill>
                  <w14:solidFill>
                    <w14:schemeClr w14:val="tx1"/>
                  </w14:solidFill>
                </w14:textFill>
              </w:rPr>
              <w:t>以上的网壳、网架工程。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3545"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themeColor="text1"/>
                <w:kern w:val="0"/>
                <w:sz w:val="20"/>
                <w:szCs w:val="20"/>
                <w14:textFill>
                  <w14:solidFill>
                    <w14:schemeClr w14:val="tx1"/>
                  </w14:solidFill>
                </w14:textFill>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themeColor="text1"/>
                <w:kern w:val="0"/>
                <w:sz w:val="20"/>
                <w:szCs w:val="20"/>
                <w14:textFill>
                  <w14:solidFill>
                    <w14:schemeClr w14:val="tx1"/>
                  </w14:solidFill>
                </w14:textFill>
              </w:rPr>
              <w:t>符合下列条件之一 ：</w:t>
            </w:r>
            <w:r>
              <w:rPr>
                <w:rStyle w:val="7"/>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7"/>
                <w:rFonts w:hint="default" w:asciiTheme="minorEastAsia" w:hAnsiTheme="minorEastAsia" w:eastAsiaTheme="minorEastAsia" w:cstheme="minorEastAsia"/>
                <w:color w:val="000000" w:themeColor="text1"/>
                <w14:textFill>
                  <w14:solidFill>
                    <w14:schemeClr w14:val="tx1"/>
                  </w14:solidFill>
                </w14:textFill>
              </w:rPr>
              <w:t>（1）地上4层以上，12层以下的建筑工程；</w:t>
            </w:r>
            <w:r>
              <w:rPr>
                <w:rStyle w:val="7"/>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7"/>
                <w:rFonts w:hint="default" w:asciiTheme="minorEastAsia" w:hAnsiTheme="minorEastAsia" w:eastAsiaTheme="minorEastAsia" w:cstheme="minorEastAsia"/>
                <w:color w:val="000000" w:themeColor="text1"/>
                <w14:textFill>
                  <w14:solidFill>
                    <w14:schemeClr w14:val="tx1"/>
                  </w14:solidFill>
                </w14:textFill>
              </w:rPr>
              <w:t>（2）高度10m以上，50m以下的构筑物或建筑物；</w:t>
            </w:r>
            <w:r>
              <w:rPr>
                <w:rStyle w:val="7"/>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7"/>
                <w:rFonts w:hint="default" w:asciiTheme="minorEastAsia" w:hAnsiTheme="minorEastAsia" w:eastAsiaTheme="minorEastAsia" w:cstheme="minorEastAsia"/>
                <w:color w:val="000000" w:themeColor="text1"/>
                <w14:textFill>
                  <w14:solidFill>
                    <w14:schemeClr w14:val="tx1"/>
                  </w14:solidFill>
                </w14:textFill>
              </w:rPr>
              <w:t>（3）建筑面积1000m</w:t>
            </w:r>
            <w:r>
              <w:rPr>
                <w:rStyle w:val="8"/>
                <w:rFonts w:hint="default" w:asciiTheme="minorEastAsia" w:hAnsiTheme="minorEastAsia" w:eastAsiaTheme="minorEastAsia" w:cstheme="minorEastAsia"/>
                <w:color w:val="000000" w:themeColor="text1"/>
                <w14:textFill>
                  <w14:solidFill>
                    <w14:schemeClr w14:val="tx1"/>
                  </w14:solidFill>
                </w14:textFill>
              </w:rPr>
              <w:t>2</w:t>
            </w:r>
            <w:r>
              <w:rPr>
                <w:rStyle w:val="7"/>
                <w:rFonts w:hint="default" w:asciiTheme="minorEastAsia" w:hAnsiTheme="minorEastAsia" w:eastAsiaTheme="minorEastAsia" w:cstheme="minorEastAsia"/>
                <w:color w:val="000000" w:themeColor="text1"/>
                <w14:textFill>
                  <w14:solidFill>
                    <w14:schemeClr w14:val="tx1"/>
                  </w14:solidFill>
                </w14:textFill>
              </w:rPr>
              <w:t>以上，1万m</w:t>
            </w:r>
            <w:r>
              <w:rPr>
                <w:rStyle w:val="8"/>
                <w:rFonts w:hint="default" w:asciiTheme="minorEastAsia" w:hAnsiTheme="minorEastAsia" w:eastAsiaTheme="minorEastAsia" w:cstheme="minorEastAsia"/>
                <w:color w:val="000000" w:themeColor="text1"/>
                <w14:textFill>
                  <w14:solidFill>
                    <w14:schemeClr w14:val="tx1"/>
                  </w14:solidFill>
                </w14:textFill>
              </w:rPr>
              <w:t>2</w:t>
            </w:r>
            <w:r>
              <w:rPr>
                <w:rStyle w:val="7"/>
                <w:rFonts w:hint="default" w:asciiTheme="minorEastAsia" w:hAnsiTheme="minorEastAsia" w:eastAsiaTheme="minorEastAsia" w:cstheme="minorEastAsia"/>
                <w:color w:val="000000" w:themeColor="text1"/>
                <w14:textFill>
                  <w14:solidFill>
                    <w14:schemeClr w14:val="tx1"/>
                  </w14:solidFill>
                </w14:textFill>
              </w:rPr>
              <w:t>以下的单体建筑；</w:t>
            </w:r>
            <w:r>
              <w:rPr>
                <w:rStyle w:val="7"/>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7"/>
                <w:rFonts w:hint="default" w:asciiTheme="minorEastAsia" w:hAnsiTheme="minorEastAsia" w:eastAsiaTheme="minorEastAsia" w:cstheme="minorEastAsia"/>
                <w:color w:val="000000" w:themeColor="text1"/>
                <w14:textFill>
                  <w14:solidFill>
                    <w14:schemeClr w14:val="tx1"/>
                  </w14:solidFill>
                </w14:textFill>
              </w:rPr>
              <w:t>（4）</w:t>
            </w:r>
            <w:r>
              <w:rPr>
                <w:rStyle w:val="7"/>
                <w:rFonts w:hint="default" w:asciiTheme="minorEastAsia" w:hAnsiTheme="minorEastAsia" w:eastAsiaTheme="minorEastAsia" w:cstheme="minorEastAsia"/>
                <w:color w:val="000000" w:themeColor="text1"/>
                <w:spacing w:val="3"/>
                <w14:textFill>
                  <w14:solidFill>
                    <w14:schemeClr w14:val="tx1"/>
                  </w14:solidFill>
                </w14:textFill>
              </w:rPr>
              <w:t>钢筋混凝土结构单跨18m以上、21m</w:t>
            </w:r>
            <w:r>
              <w:rPr>
                <w:rStyle w:val="7"/>
                <w:rFonts w:hint="default" w:asciiTheme="minorEastAsia" w:hAnsiTheme="minorEastAsia" w:eastAsiaTheme="minorEastAsia" w:cstheme="minorEastAsia"/>
                <w:color w:val="000000" w:themeColor="text1"/>
                <w14:textFill>
                  <w14:solidFill>
                    <w14:schemeClr w14:val="tx1"/>
                  </w14:solidFill>
                </w14:textFill>
              </w:rPr>
              <w:t>以下的建筑工程；</w:t>
            </w:r>
            <w:r>
              <w:rPr>
                <w:rStyle w:val="7"/>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7"/>
                <w:rFonts w:hint="default" w:asciiTheme="minorEastAsia" w:hAnsiTheme="minorEastAsia" w:eastAsiaTheme="minorEastAsia" w:cstheme="minorEastAsia"/>
                <w:color w:val="000000" w:themeColor="text1"/>
                <w14:textFill>
                  <w14:solidFill>
                    <w14:schemeClr w14:val="tx1"/>
                  </w14:solidFill>
                </w14:textFill>
              </w:rPr>
              <w:t>（5）钢结构单跨21m以上，24m以下的建筑工程；</w:t>
            </w:r>
            <w:r>
              <w:rPr>
                <w:rStyle w:val="7"/>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7"/>
                <w:rFonts w:hint="default" w:asciiTheme="minorEastAsia" w:hAnsiTheme="minorEastAsia" w:eastAsiaTheme="minorEastAsia" w:cstheme="minorEastAsia"/>
                <w:color w:val="000000" w:themeColor="text1"/>
                <w14:textFill>
                  <w14:solidFill>
                    <w14:schemeClr w14:val="tx1"/>
                  </w14:solidFill>
                </w14:textFill>
              </w:rPr>
              <w:t>（6）</w:t>
            </w:r>
            <w:r>
              <w:rPr>
                <w:rStyle w:val="7"/>
                <w:rFonts w:hint="default" w:asciiTheme="minorEastAsia" w:hAnsiTheme="minorEastAsia" w:eastAsiaTheme="minorEastAsia" w:cstheme="minorEastAsia"/>
                <w:color w:val="000000" w:themeColor="text1"/>
                <w:spacing w:val="3"/>
                <w14:textFill>
                  <w14:solidFill>
                    <w14:schemeClr w14:val="tx1"/>
                  </w14:solidFill>
                </w14:textFill>
              </w:rPr>
              <w:t>单项建筑造价200万元以上3000万</w:t>
            </w:r>
            <w:r>
              <w:rPr>
                <w:rStyle w:val="7"/>
                <w:rFonts w:hint="default" w:asciiTheme="minorEastAsia" w:hAnsiTheme="minorEastAsia" w:eastAsiaTheme="minorEastAsia" w:cstheme="minorEastAsia"/>
                <w:color w:val="000000" w:themeColor="text1"/>
                <w14:textFill>
                  <w14:solidFill>
                    <w14:schemeClr w14:val="tx1"/>
                  </w14:solidFill>
                </w14:textFill>
              </w:rPr>
              <w:t xml:space="preserve">元以下的建筑工程；    </w:t>
            </w:r>
            <w:r>
              <w:rPr>
                <w:rStyle w:val="7"/>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7"/>
                <w:rFonts w:hint="default" w:asciiTheme="minorEastAsia" w:hAnsiTheme="minorEastAsia" w:eastAsiaTheme="minorEastAsia" w:cstheme="minorEastAsia"/>
                <w:color w:val="000000" w:themeColor="text1"/>
                <w14:textFill>
                  <w14:solidFill>
                    <w14:schemeClr w14:val="tx1"/>
                  </w14:solidFill>
                </w14:textFill>
              </w:rPr>
              <w:t>（7）钢结构重量200T以上，2000T以下，且钢结构建筑面积2000m</w:t>
            </w:r>
            <w:r>
              <w:rPr>
                <w:rStyle w:val="8"/>
                <w:rFonts w:hint="default" w:asciiTheme="minorEastAsia" w:hAnsiTheme="minorEastAsia" w:eastAsiaTheme="minorEastAsia" w:cstheme="minorEastAsia"/>
                <w:color w:val="000000" w:themeColor="text1"/>
                <w14:textFill>
                  <w14:solidFill>
                    <w14:schemeClr w14:val="tx1"/>
                  </w14:solidFill>
                </w14:textFill>
              </w:rPr>
              <w:t>2</w:t>
            </w:r>
            <w:r>
              <w:rPr>
                <w:rStyle w:val="7"/>
                <w:rFonts w:hint="default" w:asciiTheme="minorEastAsia" w:hAnsiTheme="minorEastAsia" w:eastAsiaTheme="minorEastAsia" w:cstheme="minorEastAsia"/>
                <w:color w:val="000000" w:themeColor="text1"/>
                <w14:textFill>
                  <w14:solidFill>
                    <w14:schemeClr w14:val="tx1"/>
                  </w14:solidFill>
                </w14:textFill>
              </w:rPr>
              <w:t>以上的钢结构工程；</w:t>
            </w:r>
            <w:r>
              <w:rPr>
                <w:rStyle w:val="7"/>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7"/>
                <w:rFonts w:hint="default" w:asciiTheme="minorEastAsia" w:hAnsiTheme="minorEastAsia" w:eastAsiaTheme="minorEastAsia" w:cstheme="minorEastAsia"/>
                <w:color w:val="000000" w:themeColor="text1"/>
                <w14:textFill>
                  <w14:solidFill>
                    <w14:schemeClr w14:val="tx1"/>
                  </w14:solidFill>
                </w14:textFill>
              </w:rPr>
              <w:t>（8）</w:t>
            </w:r>
            <w:r>
              <w:rPr>
                <w:rStyle w:val="7"/>
                <w:rFonts w:hint="default" w:asciiTheme="minorEastAsia" w:hAnsiTheme="minorEastAsia" w:eastAsiaTheme="minorEastAsia" w:cstheme="minorEastAsia"/>
                <w:color w:val="000000" w:themeColor="text1"/>
                <w:spacing w:val="3"/>
                <w14:textFill>
                  <w14:solidFill>
                    <w14:schemeClr w14:val="tx1"/>
                  </w14:solidFill>
                </w14:textFill>
              </w:rPr>
              <w:t>网壳、网架结构重量20T以上100T</w:t>
            </w:r>
            <w:r>
              <w:rPr>
                <w:rStyle w:val="7"/>
                <w:rFonts w:hint="default" w:asciiTheme="minorEastAsia" w:hAnsiTheme="minorEastAsia" w:eastAsiaTheme="minorEastAsia" w:cstheme="minorEastAsia"/>
                <w:color w:val="000000" w:themeColor="text1"/>
                <w14:textFill>
                  <w14:solidFill>
                    <w14:schemeClr w14:val="tx1"/>
                  </w14:solidFill>
                </w14:textFill>
              </w:rPr>
              <w:t>以下，且网壳、网架结构建筑面积200m</w:t>
            </w:r>
            <w:r>
              <w:rPr>
                <w:rStyle w:val="8"/>
                <w:rFonts w:hint="default" w:asciiTheme="minorEastAsia" w:hAnsiTheme="minorEastAsia" w:eastAsiaTheme="minorEastAsia" w:cstheme="minorEastAsia"/>
                <w:color w:val="000000" w:themeColor="text1"/>
                <w14:textFill>
                  <w14:solidFill>
                    <w14:schemeClr w14:val="tx1"/>
                  </w14:solidFill>
                </w14:textFill>
              </w:rPr>
              <w:t>2</w:t>
            </w:r>
            <w:r>
              <w:rPr>
                <w:rStyle w:val="7"/>
                <w:rFonts w:hint="default" w:asciiTheme="minorEastAsia" w:hAnsiTheme="minorEastAsia" w:eastAsiaTheme="minorEastAsia" w:cstheme="minorEastAsia"/>
                <w:color w:val="000000" w:themeColor="text1"/>
                <w14:textFill>
                  <w14:solidFill>
                    <w14:schemeClr w14:val="tx1"/>
                  </w14:solidFill>
                </w14:textFill>
              </w:rPr>
              <w:t>以上的网壳，网架工程。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2895"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themeColor="text1"/>
                <w:kern w:val="0"/>
                <w:sz w:val="20"/>
                <w:szCs w:val="20"/>
                <w14:textFill>
                  <w14:solidFill>
                    <w14:schemeClr w14:val="tx1"/>
                  </w14:solidFill>
                </w14:textFill>
              </w:rPr>
              <w:t>2</w:t>
            </w:r>
          </w:p>
          <w:p>
            <w:pPr>
              <w:widowControl/>
              <w:spacing w:line="28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themeColor="text1"/>
                <w:kern w:val="0"/>
                <w:sz w:val="20"/>
                <w:szCs w:val="20"/>
                <w14:textFill>
                  <w14:solidFill>
                    <w14:schemeClr w14:val="tx1"/>
                  </w14:solidFill>
                </w14:textFill>
              </w:rPr>
              <w:t>住宅</w:t>
            </w:r>
            <w:r>
              <w:rPr>
                <w:rFonts w:hint="eastAsia" w:asciiTheme="minorEastAsia" w:hAnsiTheme="minorEastAsia" w:cstheme="minorEastAsia"/>
                <w:color w:val="000000" w:themeColor="text1"/>
                <w:kern w:val="0"/>
                <w:sz w:val="20"/>
                <w:szCs w:val="20"/>
                <w14:textFill>
                  <w14:solidFill>
                    <w14:schemeClr w14:val="tx1"/>
                  </w14:solidFill>
                </w14:textFill>
              </w:rPr>
              <w:br w:type="textWrapping"/>
            </w:r>
            <w:r>
              <w:rPr>
                <w:rFonts w:hint="eastAsia" w:asciiTheme="minorEastAsia" w:hAnsiTheme="minorEastAsia" w:cstheme="minorEastAsia"/>
                <w:color w:val="000000" w:themeColor="text1"/>
                <w:kern w:val="0"/>
                <w:sz w:val="20"/>
                <w:szCs w:val="20"/>
                <w14:textFill>
                  <w14:solidFill>
                    <w14:schemeClr w14:val="tx1"/>
                  </w14:solidFill>
                </w14:textFill>
              </w:rPr>
              <w:t>宿舍</w:t>
            </w:r>
          </w:p>
          <w:p>
            <w:pPr>
              <w:widowControl/>
              <w:spacing w:line="300" w:lineRule="exact"/>
              <w:textAlignment w:val="center"/>
              <w:rPr>
                <w:rFonts w:asciiTheme="minorEastAsia" w:hAnsiTheme="minorEastAsia" w:cstheme="minorEastAsia"/>
                <w:color w:val="000000" w:themeColor="text1"/>
                <w:kern w:val="0"/>
                <w:sz w:val="20"/>
                <w:szCs w:val="20"/>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themeColor="text1"/>
                <w:kern w:val="0"/>
                <w:sz w:val="20"/>
                <w:szCs w:val="20"/>
                <w14:textFill>
                  <w14:solidFill>
                    <w14:schemeClr w14:val="tx1"/>
                  </w14:solidFill>
                </w14:textFill>
              </w:rPr>
              <w:t>大型</w:t>
            </w:r>
          </w:p>
          <w:p>
            <w:pPr>
              <w:widowControl/>
              <w:spacing w:line="28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Style w:val="7"/>
                <w:rFonts w:hint="default" w:asciiTheme="minorEastAsia" w:hAnsiTheme="minorEastAsia" w:eastAsiaTheme="minorEastAsia" w:cstheme="minorEastAsia"/>
                <w:color w:val="000000" w:themeColor="text1"/>
                <w:spacing w:val="3"/>
                <w14:textFill>
                  <w14:solidFill>
                    <w14:schemeClr w14:val="tx1"/>
                  </w14:solidFill>
                </w14:textFill>
              </w:rPr>
            </w:pPr>
            <w:r>
              <w:rPr>
                <w:rFonts w:hint="eastAsia" w:asciiTheme="minorEastAsia" w:hAnsiTheme="minorEastAsia" w:cstheme="minorEastAsia"/>
                <w:color w:val="000000" w:themeColor="text1"/>
                <w:kern w:val="0"/>
                <w:sz w:val="20"/>
                <w:szCs w:val="20"/>
                <w14:textFill>
                  <w14:solidFill>
                    <w14:schemeClr w14:val="tx1"/>
                  </w14:solidFill>
                </w14:textFill>
              </w:rPr>
              <w:t>符合下列条件之一 ：</w:t>
            </w:r>
            <w:r>
              <w:rPr>
                <w:rStyle w:val="7"/>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7"/>
                <w:rFonts w:hint="default" w:asciiTheme="minorEastAsia" w:hAnsiTheme="minorEastAsia" w:cstheme="minorEastAsia"/>
                <w:color w:val="000000" w:themeColor="text1"/>
                <w14:textFill>
                  <w14:solidFill>
                    <w14:schemeClr w14:val="tx1"/>
                  </w14:solidFill>
                </w14:textFill>
              </w:rPr>
              <w:t>（</w:t>
            </w:r>
            <w:r>
              <w:rPr>
                <w:rStyle w:val="7"/>
                <w:rFonts w:hint="default" w:asciiTheme="minorEastAsia" w:hAnsiTheme="minorEastAsia" w:eastAsiaTheme="minorEastAsia" w:cstheme="minorEastAsia"/>
                <w:color w:val="000000" w:themeColor="text1"/>
                <w14:textFill>
                  <w14:solidFill>
                    <w14:schemeClr w14:val="tx1"/>
                  </w14:solidFill>
                </w14:textFill>
              </w:rPr>
              <w:t>1</w:t>
            </w:r>
            <w:r>
              <w:rPr>
                <w:rStyle w:val="7"/>
                <w:rFonts w:hint="default" w:asciiTheme="minorEastAsia" w:hAnsiTheme="minorEastAsia" w:cstheme="minorEastAsia"/>
                <w:color w:val="000000" w:themeColor="text1"/>
                <w14:textFill>
                  <w14:solidFill>
                    <w14:schemeClr w14:val="tx1"/>
                  </w14:solidFill>
                </w14:textFill>
              </w:rPr>
              <w:t>）</w:t>
            </w:r>
            <w:r>
              <w:rPr>
                <w:rStyle w:val="7"/>
                <w:rFonts w:hint="default" w:asciiTheme="minorEastAsia" w:hAnsiTheme="minorEastAsia" w:eastAsiaTheme="minorEastAsia" w:cstheme="minorEastAsia"/>
                <w:color w:val="000000" w:themeColor="text1"/>
                <w14:textFill>
                  <w14:solidFill>
                    <w14:schemeClr w14:val="tx1"/>
                  </w14:solidFill>
                </w14:textFill>
              </w:rPr>
              <w:t>地上25层以上的住宅建筑；</w:t>
            </w:r>
            <w:r>
              <w:rPr>
                <w:rStyle w:val="7"/>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7"/>
                <w:rFonts w:hint="default" w:asciiTheme="minorEastAsia" w:hAnsiTheme="minorEastAsia" w:eastAsiaTheme="minorEastAsia" w:cstheme="minorEastAsia"/>
                <w:color w:val="000000" w:themeColor="text1"/>
                <w:spacing w:val="-10"/>
                <w14:textFill>
                  <w14:solidFill>
                    <w14:schemeClr w14:val="tx1"/>
                  </w14:solidFill>
                </w14:textFill>
              </w:rPr>
              <w:t>（2）建筑面积3万m</w:t>
            </w:r>
            <w:r>
              <w:rPr>
                <w:rStyle w:val="8"/>
                <w:rFonts w:hint="default" w:asciiTheme="minorEastAsia" w:hAnsiTheme="minorEastAsia" w:eastAsiaTheme="minorEastAsia" w:cstheme="minorEastAsia"/>
                <w:color w:val="000000" w:themeColor="text1"/>
                <w:spacing w:val="-10"/>
                <w14:textFill>
                  <w14:solidFill>
                    <w14:schemeClr w14:val="tx1"/>
                  </w14:solidFill>
                </w14:textFill>
              </w:rPr>
              <w:t>2</w:t>
            </w:r>
            <w:r>
              <w:rPr>
                <w:rStyle w:val="7"/>
                <w:rFonts w:hint="default" w:asciiTheme="minorEastAsia" w:hAnsiTheme="minorEastAsia" w:eastAsiaTheme="minorEastAsia" w:cstheme="minorEastAsia"/>
                <w:color w:val="000000" w:themeColor="text1"/>
                <w:spacing w:val="-10"/>
                <w14:textFill>
                  <w14:solidFill>
                    <w14:schemeClr w14:val="tx1"/>
                  </w14:solidFill>
                </w14:textFill>
              </w:rPr>
              <w:t>以上的单体住宅建筑；</w:t>
            </w:r>
            <w:r>
              <w:rPr>
                <w:rStyle w:val="7"/>
                <w:rFonts w:hint="default" w:asciiTheme="minorEastAsia" w:hAnsiTheme="minorEastAsia" w:eastAsiaTheme="minorEastAsia" w:cstheme="minorEastAsia"/>
                <w:color w:val="000000" w:themeColor="text1"/>
                <w:spacing w:val="-10"/>
                <w14:textFill>
                  <w14:solidFill>
                    <w14:schemeClr w14:val="tx1"/>
                  </w14:solidFill>
                </w14:textFill>
              </w:rPr>
              <w:br w:type="textWrapping"/>
            </w:r>
            <w:r>
              <w:rPr>
                <w:rStyle w:val="7"/>
                <w:rFonts w:hint="default" w:asciiTheme="minorEastAsia" w:hAnsiTheme="minorEastAsia" w:eastAsiaTheme="minorEastAsia" w:cstheme="minorEastAsia"/>
                <w:color w:val="000000" w:themeColor="text1"/>
                <w:spacing w:val="-10"/>
                <w14:textFill>
                  <w14:solidFill>
                    <w14:schemeClr w14:val="tx1"/>
                  </w14:solidFill>
                </w14:textFill>
              </w:rPr>
              <w:t>（3）单项建筑造价1亿元以上的住宅建筑；</w:t>
            </w:r>
            <w:r>
              <w:rPr>
                <w:rStyle w:val="7"/>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7"/>
                <w:rFonts w:hint="default" w:asciiTheme="minorEastAsia" w:hAnsiTheme="minorEastAsia" w:eastAsiaTheme="minorEastAsia" w:cstheme="minorEastAsia"/>
                <w:color w:val="000000" w:themeColor="text1"/>
                <w14:textFill>
                  <w14:solidFill>
                    <w14:schemeClr w14:val="tx1"/>
                  </w14:solidFill>
                </w14:textFill>
              </w:rPr>
              <w:t>（4）建筑面积30万m</w:t>
            </w:r>
            <w:r>
              <w:rPr>
                <w:rStyle w:val="8"/>
                <w:rFonts w:hint="default" w:asciiTheme="minorEastAsia" w:hAnsiTheme="minorEastAsia" w:eastAsiaTheme="minorEastAsia" w:cstheme="minorEastAsia"/>
                <w:color w:val="000000" w:themeColor="text1"/>
                <w14:textFill>
                  <w14:solidFill>
                    <w14:schemeClr w14:val="tx1"/>
                  </w14:solidFill>
                </w14:textFill>
              </w:rPr>
              <w:t>2</w:t>
            </w:r>
            <w:r>
              <w:rPr>
                <w:rStyle w:val="7"/>
                <w:rFonts w:hint="default" w:asciiTheme="minorEastAsia" w:hAnsiTheme="minorEastAsia" w:eastAsiaTheme="minorEastAsia" w:cstheme="minorEastAsia"/>
                <w:color w:val="000000" w:themeColor="text1"/>
                <w14:textFill>
                  <w14:solidFill>
                    <w14:schemeClr w14:val="tx1"/>
                  </w14:solidFill>
                </w14:textFill>
              </w:rPr>
              <w:t>以上的住宅小区或建筑群体工程；</w:t>
            </w:r>
            <w:r>
              <w:rPr>
                <w:rStyle w:val="7"/>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7"/>
                <w:rFonts w:hint="default" w:asciiTheme="minorEastAsia" w:hAnsiTheme="minorEastAsia" w:eastAsiaTheme="minorEastAsia" w:cstheme="minorEastAsia"/>
                <w:color w:val="000000" w:themeColor="text1"/>
                <w14:textFill>
                  <w14:solidFill>
                    <w14:schemeClr w14:val="tx1"/>
                  </w14:solidFill>
                </w14:textFill>
              </w:rPr>
              <w:t>（5）单体钢结构工程钢结构重量5000T以上的钢结构工程。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3545"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p>
        </w:tc>
        <w:tc>
          <w:tcPr>
            <w:tcW w:w="850"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themeColor="text1"/>
                <w:kern w:val="0"/>
                <w:sz w:val="20"/>
                <w:szCs w:val="20"/>
                <w14:textFill>
                  <w14:solidFill>
                    <w14:schemeClr w14:val="tx1"/>
                  </w14:solidFill>
                </w14:textFill>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Style w:val="7"/>
                <w:rFonts w:hint="default" w:asciiTheme="minorEastAsia" w:hAnsiTheme="minorEastAsia" w:eastAsiaTheme="minorEastAsia" w:cstheme="minorEastAsia"/>
                <w:color w:val="000000" w:themeColor="text1"/>
                <w:spacing w:val="3"/>
                <w14:textFill>
                  <w14:solidFill>
                    <w14:schemeClr w14:val="tx1"/>
                  </w14:solidFill>
                </w14:textFill>
              </w:rPr>
            </w:pPr>
            <w:r>
              <w:rPr>
                <w:rFonts w:hint="eastAsia" w:asciiTheme="minorEastAsia" w:hAnsiTheme="minorEastAsia" w:cstheme="minorEastAsia"/>
                <w:color w:val="000000" w:themeColor="text1"/>
                <w:kern w:val="0"/>
                <w:sz w:val="20"/>
                <w:szCs w:val="20"/>
                <w14:textFill>
                  <w14:solidFill>
                    <w14:schemeClr w14:val="tx1"/>
                  </w14:solidFill>
                </w14:textFill>
              </w:rPr>
              <w:t>符合下列条件之一 ：</w:t>
            </w:r>
            <w:r>
              <w:rPr>
                <w:rStyle w:val="9"/>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9"/>
                <w:rFonts w:hint="default" w:asciiTheme="minorEastAsia" w:hAnsiTheme="minorEastAsia" w:eastAsiaTheme="minorEastAsia" w:cstheme="minorEastAsia"/>
                <w:color w:val="000000" w:themeColor="text1"/>
                <w14:textFill>
                  <w14:solidFill>
                    <w14:schemeClr w14:val="tx1"/>
                  </w14:solidFill>
                </w14:textFill>
              </w:rPr>
              <w:t>（1）地上12层以上、25层以下的住宅建筑；</w:t>
            </w:r>
            <w:r>
              <w:rPr>
                <w:rStyle w:val="9"/>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9"/>
                <w:rFonts w:hint="default" w:asciiTheme="minorEastAsia" w:hAnsiTheme="minorEastAsia" w:eastAsiaTheme="minorEastAsia" w:cstheme="minorEastAsia"/>
                <w:color w:val="000000" w:themeColor="text1"/>
                <w14:textFill>
                  <w14:solidFill>
                    <w14:schemeClr w14:val="tx1"/>
                  </w14:solidFill>
                </w14:textFill>
              </w:rPr>
              <w:t>（2）建筑面积1万m</w:t>
            </w:r>
            <w:r>
              <w:rPr>
                <w:rStyle w:val="10"/>
                <w:rFonts w:hint="default" w:asciiTheme="minorEastAsia" w:hAnsiTheme="minorEastAsia" w:eastAsiaTheme="minorEastAsia" w:cstheme="minorEastAsia"/>
                <w:color w:val="000000" w:themeColor="text1"/>
                <w14:textFill>
                  <w14:solidFill>
                    <w14:schemeClr w14:val="tx1"/>
                  </w14:solidFill>
                </w14:textFill>
              </w:rPr>
              <w:t>2</w:t>
            </w:r>
            <w:r>
              <w:rPr>
                <w:rStyle w:val="9"/>
                <w:rFonts w:hint="default" w:asciiTheme="minorEastAsia" w:hAnsiTheme="minorEastAsia" w:eastAsiaTheme="minorEastAsia" w:cstheme="minorEastAsia"/>
                <w:color w:val="000000" w:themeColor="text1"/>
                <w14:textFill>
                  <w14:solidFill>
                    <w14:schemeClr w14:val="tx1"/>
                  </w14:solidFill>
                </w14:textFill>
              </w:rPr>
              <w:t>以上、3万m</w:t>
            </w:r>
            <w:r>
              <w:rPr>
                <w:rStyle w:val="10"/>
                <w:rFonts w:hint="default" w:asciiTheme="minorEastAsia" w:hAnsiTheme="minorEastAsia" w:eastAsiaTheme="minorEastAsia" w:cstheme="minorEastAsia"/>
                <w:color w:val="000000" w:themeColor="text1"/>
                <w14:textFill>
                  <w14:solidFill>
                    <w14:schemeClr w14:val="tx1"/>
                  </w14:solidFill>
                </w14:textFill>
              </w:rPr>
              <w:t>2</w:t>
            </w:r>
            <w:r>
              <w:rPr>
                <w:rStyle w:val="9"/>
                <w:rFonts w:hint="default" w:asciiTheme="minorEastAsia" w:hAnsiTheme="minorEastAsia" w:eastAsiaTheme="minorEastAsia" w:cstheme="minorEastAsia"/>
                <w:color w:val="000000" w:themeColor="text1"/>
                <w14:textFill>
                  <w14:solidFill>
                    <w14:schemeClr w14:val="tx1"/>
                  </w14:solidFill>
                </w14:textFill>
              </w:rPr>
              <w:t>以下的单体住宅建筑；</w:t>
            </w:r>
            <w:r>
              <w:rPr>
                <w:rStyle w:val="9"/>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9"/>
                <w:rFonts w:hint="default" w:asciiTheme="minorEastAsia" w:hAnsiTheme="minorEastAsia" w:eastAsiaTheme="minorEastAsia" w:cstheme="minorEastAsia"/>
                <w:color w:val="000000" w:themeColor="text1"/>
                <w14:textFill>
                  <w14:solidFill>
                    <w14:schemeClr w14:val="tx1"/>
                  </w14:solidFill>
                </w14:textFill>
              </w:rPr>
              <w:t>（3）单项建筑造价3000万元以上、1亿元以下的住宅建筑；</w:t>
            </w:r>
            <w:r>
              <w:rPr>
                <w:rStyle w:val="9"/>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9"/>
                <w:rFonts w:hint="default" w:asciiTheme="minorEastAsia" w:hAnsiTheme="minorEastAsia" w:eastAsiaTheme="minorEastAsia" w:cstheme="minorEastAsia"/>
                <w:color w:val="000000" w:themeColor="text1"/>
                <w14:textFill>
                  <w14:solidFill>
                    <w14:schemeClr w14:val="tx1"/>
                  </w14:solidFill>
                </w14:textFill>
              </w:rPr>
              <w:t>（4）建筑面积20万m</w:t>
            </w:r>
            <w:r>
              <w:rPr>
                <w:rStyle w:val="10"/>
                <w:rFonts w:hint="default" w:asciiTheme="minorEastAsia" w:hAnsiTheme="minorEastAsia" w:eastAsiaTheme="minorEastAsia" w:cstheme="minorEastAsia"/>
                <w:color w:val="000000" w:themeColor="text1"/>
                <w14:textFill>
                  <w14:solidFill>
                    <w14:schemeClr w14:val="tx1"/>
                  </w14:solidFill>
                </w14:textFill>
              </w:rPr>
              <w:t>2</w:t>
            </w:r>
            <w:r>
              <w:rPr>
                <w:rStyle w:val="10"/>
                <w:rFonts w:hint="default" w:asciiTheme="minorEastAsia" w:hAnsiTheme="minorEastAsia" w:eastAsiaTheme="minorEastAsia" w:cstheme="minorEastAsia"/>
                <w:color w:val="000000" w:themeColor="text1"/>
                <w:vertAlign w:val="baseline"/>
                <w14:textFill>
                  <w14:solidFill>
                    <w14:schemeClr w14:val="tx1"/>
                  </w14:solidFill>
                </w14:textFill>
              </w:rPr>
              <w:t>以上、30万</w:t>
            </w:r>
            <w:r>
              <w:rPr>
                <w:rStyle w:val="9"/>
                <w:rFonts w:hint="default" w:asciiTheme="minorEastAsia" w:hAnsiTheme="minorEastAsia" w:eastAsiaTheme="minorEastAsia" w:cstheme="minorEastAsia"/>
                <w:color w:val="000000" w:themeColor="text1"/>
                <w14:textFill>
                  <w14:solidFill>
                    <w14:schemeClr w14:val="tx1"/>
                  </w14:solidFill>
                </w14:textFill>
              </w:rPr>
              <w:t>m</w:t>
            </w:r>
            <w:r>
              <w:rPr>
                <w:rStyle w:val="10"/>
                <w:rFonts w:hint="default" w:asciiTheme="minorEastAsia" w:hAnsiTheme="minorEastAsia" w:eastAsiaTheme="minorEastAsia" w:cstheme="minorEastAsia"/>
                <w:color w:val="000000" w:themeColor="text1"/>
                <w14:textFill>
                  <w14:solidFill>
                    <w14:schemeClr w14:val="tx1"/>
                  </w14:solidFill>
                </w14:textFill>
              </w:rPr>
              <w:t>2</w:t>
            </w:r>
            <w:r>
              <w:rPr>
                <w:rStyle w:val="10"/>
                <w:rFonts w:hint="default" w:asciiTheme="minorEastAsia" w:hAnsiTheme="minorEastAsia" w:eastAsiaTheme="minorEastAsia" w:cstheme="minorEastAsia"/>
                <w:color w:val="000000" w:themeColor="text1"/>
                <w:vertAlign w:val="baseline"/>
                <w14:textFill>
                  <w14:solidFill>
                    <w14:schemeClr w14:val="tx1"/>
                  </w14:solidFill>
                </w14:textFill>
              </w:rPr>
              <w:t>以下的住宅小区或建筑群体工程；</w:t>
            </w:r>
            <w:r>
              <w:rPr>
                <w:rStyle w:val="10"/>
                <w:rFonts w:hint="default" w:asciiTheme="minorEastAsia" w:hAnsiTheme="minorEastAsia" w:eastAsiaTheme="minorEastAsia" w:cstheme="minorEastAsia"/>
                <w:color w:val="000000" w:themeColor="text1"/>
                <w:vertAlign w:val="baseline"/>
                <w14:textFill>
                  <w14:solidFill>
                    <w14:schemeClr w14:val="tx1"/>
                  </w14:solidFill>
                </w14:textFill>
              </w:rPr>
              <w:br w:type="textWrapping"/>
            </w:r>
            <w:r>
              <w:rPr>
                <w:rStyle w:val="11"/>
                <w:rFonts w:hint="default" w:asciiTheme="minorEastAsia" w:hAnsiTheme="minorEastAsia" w:eastAsiaTheme="minorEastAsia" w:cstheme="minorEastAsia"/>
                <w:color w:val="000000" w:themeColor="text1"/>
                <w:sz w:val="20"/>
                <w:szCs w:val="20"/>
                <w:vertAlign w:val="baseline"/>
                <w14:textFill>
                  <w14:solidFill>
                    <w14:schemeClr w14:val="tx1"/>
                  </w14:solidFill>
                </w14:textFill>
              </w:rPr>
              <w:t>（5）单体钢结构工程钢结构重量2000T以上、5000T以下的钢结构工程。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3545"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themeColor="text1"/>
                <w:kern w:val="0"/>
                <w:sz w:val="20"/>
                <w:szCs w:val="20"/>
                <w14:textFill>
                  <w14:solidFill>
                    <w14:schemeClr w14:val="tx1"/>
                  </w14:solidFill>
                </w14:textFill>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Style w:val="7"/>
                <w:rFonts w:hint="default"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kern w:val="0"/>
                <w:sz w:val="20"/>
                <w:szCs w:val="20"/>
                <w14:textFill>
                  <w14:solidFill>
                    <w14:schemeClr w14:val="tx1"/>
                  </w14:solidFill>
                </w14:textFill>
              </w:rPr>
              <w:t>符合下列条件之一 ：</w:t>
            </w:r>
            <w:r>
              <w:rPr>
                <w:rStyle w:val="7"/>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7"/>
                <w:rFonts w:hint="default" w:asciiTheme="minorEastAsia" w:hAnsiTheme="minorEastAsia" w:eastAsiaTheme="minorEastAsia" w:cstheme="minorEastAsia"/>
                <w:color w:val="000000" w:themeColor="text1"/>
                <w14:textFill>
                  <w14:solidFill>
                    <w14:schemeClr w14:val="tx1"/>
                  </w14:solidFill>
                </w14:textFill>
              </w:rPr>
              <w:t>（1）地上4层以上12层以下的住宅建筑；</w:t>
            </w:r>
            <w:r>
              <w:rPr>
                <w:rStyle w:val="7"/>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7"/>
                <w:rFonts w:hint="default" w:asciiTheme="minorEastAsia" w:hAnsiTheme="minorEastAsia" w:eastAsiaTheme="minorEastAsia" w:cstheme="minorEastAsia"/>
                <w:color w:val="000000" w:themeColor="text1"/>
                <w14:textFill>
                  <w14:solidFill>
                    <w14:schemeClr w14:val="tx1"/>
                  </w14:solidFill>
                </w14:textFill>
              </w:rPr>
              <w:t>（2）建筑面积1000m</w:t>
            </w:r>
            <w:r>
              <w:rPr>
                <w:rStyle w:val="8"/>
                <w:rFonts w:hint="default" w:asciiTheme="minorEastAsia" w:hAnsiTheme="minorEastAsia" w:eastAsiaTheme="minorEastAsia" w:cstheme="minorEastAsia"/>
                <w:color w:val="000000" w:themeColor="text1"/>
                <w14:textFill>
                  <w14:solidFill>
                    <w14:schemeClr w14:val="tx1"/>
                  </w14:solidFill>
                </w14:textFill>
              </w:rPr>
              <w:t>2</w:t>
            </w:r>
            <w:r>
              <w:rPr>
                <w:rStyle w:val="7"/>
                <w:rFonts w:hint="default" w:asciiTheme="minorEastAsia" w:hAnsiTheme="minorEastAsia" w:eastAsiaTheme="minorEastAsia" w:cstheme="minorEastAsia"/>
                <w:color w:val="000000" w:themeColor="text1"/>
                <w14:textFill>
                  <w14:solidFill>
                    <w14:schemeClr w14:val="tx1"/>
                  </w14:solidFill>
                </w14:textFill>
              </w:rPr>
              <w:t>以上，1万m</w:t>
            </w:r>
            <w:r>
              <w:rPr>
                <w:rStyle w:val="8"/>
                <w:rFonts w:hint="default" w:asciiTheme="minorEastAsia" w:hAnsiTheme="minorEastAsia" w:eastAsiaTheme="minorEastAsia" w:cstheme="minorEastAsia"/>
                <w:color w:val="000000" w:themeColor="text1"/>
                <w14:textFill>
                  <w14:solidFill>
                    <w14:schemeClr w14:val="tx1"/>
                  </w14:solidFill>
                </w14:textFill>
              </w:rPr>
              <w:t>2</w:t>
            </w:r>
            <w:r>
              <w:rPr>
                <w:rStyle w:val="7"/>
                <w:rFonts w:hint="default" w:asciiTheme="minorEastAsia" w:hAnsiTheme="minorEastAsia" w:eastAsiaTheme="minorEastAsia" w:cstheme="minorEastAsia"/>
                <w:color w:val="000000" w:themeColor="text1"/>
                <w14:textFill>
                  <w14:solidFill>
                    <w14:schemeClr w14:val="tx1"/>
                  </w14:solidFill>
                </w14:textFill>
              </w:rPr>
              <w:t>以下的单体住宅建筑；</w:t>
            </w:r>
            <w:r>
              <w:rPr>
                <w:rStyle w:val="7"/>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7"/>
                <w:rFonts w:hint="default" w:asciiTheme="minorEastAsia" w:hAnsiTheme="minorEastAsia" w:eastAsiaTheme="minorEastAsia" w:cstheme="minorEastAsia"/>
                <w:color w:val="000000" w:themeColor="text1"/>
                <w14:textFill>
                  <w14:solidFill>
                    <w14:schemeClr w14:val="tx1"/>
                  </w14:solidFill>
                </w14:textFill>
              </w:rPr>
              <w:t>（3）单项建筑造价200万元以上，3000万元以下的住宅建筑；</w:t>
            </w:r>
            <w:r>
              <w:rPr>
                <w:rStyle w:val="7"/>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7"/>
                <w:rFonts w:hint="default" w:asciiTheme="minorEastAsia" w:hAnsiTheme="minorEastAsia" w:eastAsiaTheme="minorEastAsia" w:cstheme="minorEastAsia"/>
                <w:color w:val="000000" w:themeColor="text1"/>
                <w14:textFill>
                  <w14:solidFill>
                    <w14:schemeClr w14:val="tx1"/>
                  </w14:solidFill>
                </w14:textFill>
              </w:rPr>
              <w:t>（4）建筑面积10万m</w:t>
            </w:r>
            <w:r>
              <w:rPr>
                <w:rStyle w:val="8"/>
                <w:rFonts w:hint="default" w:asciiTheme="minorEastAsia" w:hAnsiTheme="minorEastAsia" w:eastAsiaTheme="minorEastAsia" w:cstheme="minorEastAsia"/>
                <w:color w:val="000000" w:themeColor="text1"/>
                <w14:textFill>
                  <w14:solidFill>
                    <w14:schemeClr w14:val="tx1"/>
                  </w14:solidFill>
                </w14:textFill>
              </w:rPr>
              <w:t>2</w:t>
            </w:r>
            <w:r>
              <w:rPr>
                <w:rStyle w:val="7"/>
                <w:rFonts w:hint="default" w:asciiTheme="minorEastAsia" w:hAnsiTheme="minorEastAsia" w:eastAsiaTheme="minorEastAsia" w:cstheme="minorEastAsia"/>
                <w:color w:val="000000" w:themeColor="text1"/>
                <w14:textFill>
                  <w14:solidFill>
                    <w14:schemeClr w14:val="tx1"/>
                  </w14:solidFill>
                </w14:textFill>
              </w:rPr>
              <w:t>以上，20万m</w:t>
            </w:r>
            <w:r>
              <w:rPr>
                <w:rStyle w:val="8"/>
                <w:rFonts w:hint="default" w:asciiTheme="minorEastAsia" w:hAnsiTheme="minorEastAsia" w:eastAsiaTheme="minorEastAsia" w:cstheme="minorEastAsia"/>
                <w:color w:val="000000" w:themeColor="text1"/>
                <w14:textFill>
                  <w14:solidFill>
                    <w14:schemeClr w14:val="tx1"/>
                  </w14:solidFill>
                </w14:textFill>
              </w:rPr>
              <w:t>2</w:t>
            </w:r>
            <w:r>
              <w:rPr>
                <w:rStyle w:val="7"/>
                <w:rFonts w:hint="default" w:asciiTheme="minorEastAsia" w:hAnsiTheme="minorEastAsia" w:eastAsiaTheme="minorEastAsia" w:cstheme="minorEastAsia"/>
                <w:color w:val="000000" w:themeColor="text1"/>
                <w14:textFill>
                  <w14:solidFill>
                    <w14:schemeClr w14:val="tx1"/>
                  </w14:solidFill>
                </w14:textFill>
              </w:rPr>
              <w:t>以下的住宅小区或建筑群体工程；</w:t>
            </w:r>
            <w:r>
              <w:rPr>
                <w:rStyle w:val="7"/>
                <w:rFonts w:hint="default" w:asciiTheme="minorEastAsia" w:hAnsiTheme="minorEastAsia" w:eastAsiaTheme="minorEastAsia" w:cstheme="minorEastAsia"/>
                <w:color w:val="000000" w:themeColor="text1"/>
                <w14:textFill>
                  <w14:solidFill>
                    <w14:schemeClr w14:val="tx1"/>
                  </w14:solidFill>
                </w14:textFill>
              </w:rPr>
              <w:br w:type="textWrapping"/>
            </w:r>
            <w:r>
              <w:rPr>
                <w:rStyle w:val="7"/>
                <w:rFonts w:hint="default" w:asciiTheme="minorEastAsia" w:hAnsiTheme="minorEastAsia" w:eastAsiaTheme="minorEastAsia" w:cstheme="minorEastAsia"/>
                <w:color w:val="000000" w:themeColor="text1"/>
                <w14:textFill>
                  <w14:solidFill>
                    <w14:schemeClr w14:val="tx1"/>
                  </w14:solidFill>
                </w14:textFill>
              </w:rPr>
              <w:t>（5）</w:t>
            </w:r>
            <w:r>
              <w:rPr>
                <w:rStyle w:val="7"/>
                <w:rFonts w:hint="default" w:asciiTheme="minorEastAsia" w:hAnsiTheme="minorEastAsia" w:eastAsiaTheme="minorEastAsia" w:cstheme="minorEastAsia"/>
                <w:color w:val="000000" w:themeColor="text1"/>
                <w:spacing w:val="-2"/>
                <w14:textFill>
                  <w14:solidFill>
                    <w14:schemeClr w14:val="tx1"/>
                  </w14:solidFill>
                </w14:textFill>
              </w:rPr>
              <w:t>钢结构重量200T以上2000T以下，</w:t>
            </w:r>
            <w:r>
              <w:rPr>
                <w:rStyle w:val="7"/>
                <w:rFonts w:hint="default" w:asciiTheme="minorEastAsia" w:hAnsiTheme="minorEastAsia" w:eastAsiaTheme="minorEastAsia" w:cstheme="minorEastAsia"/>
                <w:color w:val="000000" w:themeColor="text1"/>
                <w14:textFill>
                  <w14:solidFill>
                    <w14:schemeClr w14:val="tx1"/>
                  </w14:solidFill>
                </w14:textFill>
              </w:rPr>
              <w:t>且钢结构建筑面积2000m</w:t>
            </w:r>
            <w:r>
              <w:rPr>
                <w:rStyle w:val="8"/>
                <w:rFonts w:hint="default" w:asciiTheme="minorEastAsia" w:hAnsiTheme="minorEastAsia" w:eastAsiaTheme="minorEastAsia" w:cstheme="minorEastAsia"/>
                <w:color w:val="000000" w:themeColor="text1"/>
                <w14:textFill>
                  <w14:solidFill>
                    <w14:schemeClr w14:val="tx1"/>
                  </w14:solidFill>
                </w14:textFill>
              </w:rPr>
              <w:t>2</w:t>
            </w:r>
            <w:r>
              <w:rPr>
                <w:rStyle w:val="7"/>
                <w:rFonts w:hint="default" w:asciiTheme="minorEastAsia" w:hAnsiTheme="minorEastAsia" w:eastAsiaTheme="minorEastAsia" w:cstheme="minorEastAsia"/>
                <w:color w:val="000000" w:themeColor="text1"/>
                <w14:textFill>
                  <w14:solidFill>
                    <w14:schemeClr w14:val="tx1"/>
                  </w14:solidFill>
                </w14:textFill>
              </w:rPr>
              <w:t>以上的钢结构工程。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bl>
    <w:p>
      <w:pPr>
        <w:spacing w:line="220" w:lineRule="exact"/>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二、建筑学专业</w:t>
      </w:r>
    </w:p>
    <w:tbl>
      <w:tblPr>
        <w:tblStyle w:val="5"/>
        <w:tblW w:w="10204" w:type="dxa"/>
        <w:jc w:val="center"/>
        <w:tblLayout w:type="fixed"/>
        <w:tblCellMar>
          <w:top w:w="113" w:type="dxa"/>
          <w:left w:w="57" w:type="dxa"/>
          <w:bottom w:w="57" w:type="dxa"/>
          <w:right w:w="57" w:type="dxa"/>
        </w:tblCellMar>
      </w:tblPr>
      <w:tblGrid>
        <w:gridCol w:w="567"/>
        <w:gridCol w:w="850"/>
        <w:gridCol w:w="850"/>
        <w:gridCol w:w="6803"/>
        <w:gridCol w:w="1134"/>
      </w:tblGrid>
      <w:tr>
        <w:tblPrEx>
          <w:tblCellMar>
            <w:top w:w="113" w:type="dxa"/>
            <w:left w:w="57" w:type="dxa"/>
            <w:bottom w:w="57" w:type="dxa"/>
            <w:right w:w="57" w:type="dxa"/>
          </w:tblCellMar>
        </w:tblPrEx>
        <w:trPr>
          <w:trHeight w:val="567" w:hRule="atLeast"/>
          <w:tblHeader/>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类型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规模</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参考标准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备注</w:t>
            </w:r>
          </w:p>
        </w:tc>
      </w:tr>
      <w:tr>
        <w:tblPrEx>
          <w:tblCellMar>
            <w:top w:w="113" w:type="dxa"/>
            <w:left w:w="57" w:type="dxa"/>
            <w:bottom w:w="57" w:type="dxa"/>
            <w:right w:w="57" w:type="dxa"/>
          </w:tblCellMar>
        </w:tblPrEx>
        <w:trPr>
          <w:trHeight w:val="1888"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kern w:val="0"/>
                <w:sz w:val="20"/>
                <w:szCs w:val="20"/>
              </w:rPr>
              <w:t>1</w:t>
            </w: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kern w:val="0"/>
                <w:sz w:val="20"/>
                <w:szCs w:val="20"/>
              </w:rPr>
              <w:t>一般公共建筑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kern w:val="0"/>
                <w:sz w:val="20"/>
                <w:szCs w:val="20"/>
              </w:rPr>
              <w:t>符合下列条件之一 ：</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（1）地上25层以上的建筑；</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（2）高度100m以上的构筑物或建筑物；</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（3）建筑面积3万m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以上的单体建筑；</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 xml:space="preserve">（4）单项建筑造价1亿元以上的建筑工程；       </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（5）单体钢结构工程钢结构重量5000T以上的钢结构工程。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1928"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textAlignment w:val="center"/>
              <w:rPr>
                <w:rStyle w:val="12"/>
                <w:rFonts w:hint="default" w:asciiTheme="minorEastAsia" w:hAnsiTheme="minorEastAsia" w:eastAsiaTheme="minorEastAsia" w:cstheme="minorEastAsia"/>
                <w:color w:val="auto"/>
                <w:sz w:val="20"/>
                <w:szCs w:val="20"/>
              </w:rPr>
            </w:pPr>
            <w:r>
              <w:rPr>
                <w:rFonts w:hint="eastAsia" w:asciiTheme="minorEastAsia" w:hAnsiTheme="minorEastAsia" w:cstheme="minorEastAsia"/>
                <w:kern w:val="0"/>
                <w:sz w:val="20"/>
                <w:szCs w:val="20"/>
              </w:rPr>
              <w:t>符合下列条件之一 ：</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（1）地上12层以上，25层以下的建筑工程；</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（2）高度50m以上，100m以下的构筑物或建筑物；</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（3）建筑面积1万</w:t>
            </w:r>
            <w:r>
              <w:rPr>
                <w:rFonts w:hint="eastAsia" w:asciiTheme="minorEastAsia" w:hAnsiTheme="minorEastAsia" w:cstheme="minorEastAsia"/>
                <w:color w:val="000000" w:themeColor="text1"/>
                <w:spacing w:val="-3"/>
                <w:kern w:val="0"/>
                <w:sz w:val="20"/>
                <w:szCs w:val="20"/>
                <w14:textFill>
                  <w14:solidFill>
                    <w14:schemeClr w14:val="tx1"/>
                  </w14:solidFill>
                </w14:textFill>
              </w:rPr>
              <w:t>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Style w:val="12"/>
                <w:rFonts w:hint="default" w:asciiTheme="minorEastAsia" w:hAnsiTheme="minorEastAsia" w:eastAsiaTheme="minorEastAsia" w:cstheme="minorEastAsia"/>
                <w:color w:val="auto"/>
                <w:sz w:val="20"/>
                <w:szCs w:val="20"/>
              </w:rPr>
              <w:t>以上，3万m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以下的单体建筑；</w:t>
            </w:r>
          </w:p>
          <w:p>
            <w:pPr>
              <w:widowControl/>
              <w:spacing w:line="280" w:lineRule="exact"/>
              <w:textAlignment w:val="center"/>
              <w:rPr>
                <w:rStyle w:val="12"/>
                <w:rFonts w:hint="default" w:asciiTheme="minorEastAsia" w:hAnsiTheme="minorEastAsia" w:eastAsiaTheme="minorEastAsia" w:cstheme="minorEastAsia"/>
                <w:color w:val="auto"/>
                <w:sz w:val="20"/>
                <w:szCs w:val="20"/>
              </w:rPr>
            </w:pPr>
            <w:r>
              <w:rPr>
                <w:rStyle w:val="12"/>
                <w:rFonts w:hint="default" w:asciiTheme="minorEastAsia" w:hAnsiTheme="minorEastAsia" w:eastAsiaTheme="minorEastAsia" w:cstheme="minorEastAsia"/>
                <w:color w:val="auto"/>
                <w:sz w:val="20"/>
                <w:szCs w:val="20"/>
              </w:rPr>
              <w:t xml:space="preserve">（4）单项建筑造价3000万元以上，1亿元以下的建筑工程；      </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（5）单体钢结构工程钢结构重量2000T以上，5000T以下的钢结构工程。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198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小型</w:t>
            </w:r>
          </w:p>
          <w:p>
            <w:pPr>
              <w:widowControl/>
              <w:spacing w:line="220" w:lineRule="exact"/>
              <w:jc w:val="center"/>
              <w:textAlignment w:val="center"/>
              <w:rPr>
                <w:rFonts w:asciiTheme="minorEastAsia" w:hAnsiTheme="minorEastAsia" w:cstheme="minorEastAsia"/>
                <w:kern w:val="0"/>
                <w:sz w:val="20"/>
                <w:szCs w:val="20"/>
              </w:rPr>
            </w:pP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Style w:val="12"/>
                <w:rFonts w:hint="default" w:asciiTheme="minorEastAsia" w:hAnsiTheme="minorEastAsia" w:eastAsiaTheme="minorEastAsia" w:cstheme="minorEastAsia"/>
                <w:color w:val="auto"/>
                <w:sz w:val="20"/>
                <w:szCs w:val="20"/>
              </w:rPr>
            </w:pPr>
            <w:r>
              <w:rPr>
                <w:rFonts w:hint="eastAsia" w:asciiTheme="minorEastAsia" w:hAnsiTheme="minorEastAsia" w:cstheme="minorEastAsia"/>
                <w:kern w:val="0"/>
                <w:sz w:val="20"/>
                <w:szCs w:val="20"/>
              </w:rPr>
              <w:t>符合下列条件之一 ：</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（1）地上4层以上，12层以下的建筑工程；</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（2）高度10m以上，50m以下的构筑物或建筑物；</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（3）建筑面积0.1万m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以上，1万m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以下的单体建筑；</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 xml:space="preserve">（4）单项建筑造价200万元以上，3000万元以下的建筑工程；    </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（5）钢结构重量200T以上，2000T以下，且钢结构建筑面积2000m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以上的钢结构工程。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1883"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2</w:t>
            </w: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住宅</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宿舍</w:t>
            </w:r>
          </w:p>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符合下列条件之一 ：</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（1）地上25层以上的住宅建筑；</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（2）建筑面积3万m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以上的单体住宅建筑；</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（3）</w:t>
            </w:r>
            <w:r>
              <w:rPr>
                <w:rStyle w:val="12"/>
                <w:rFonts w:hint="default" w:asciiTheme="minorEastAsia" w:hAnsiTheme="minorEastAsia" w:eastAsiaTheme="minorEastAsia" w:cstheme="minorEastAsia"/>
                <w:color w:val="auto"/>
                <w:spacing w:val="3"/>
                <w:sz w:val="20"/>
                <w:szCs w:val="20"/>
              </w:rPr>
              <w:t>单项建筑造价1亿元以上的住宅建筑；</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（4）建筑面积30万m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以上的住宅小区或建筑群体工程；</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（5）单体钢结构工程钢结构重量5000T以上的钢结构工程。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1575"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符合下列条件之一 ：</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（1）地上12层以上，25层以下的住宅建筑；</w:t>
            </w:r>
            <w:r>
              <w:rPr>
                <w:rFonts w:hint="eastAsia" w:asciiTheme="minorEastAsia" w:hAnsiTheme="minorEastAsia" w:cstheme="minorEastAsia"/>
                <w:kern w:val="0"/>
                <w:sz w:val="20"/>
                <w:szCs w:val="20"/>
              </w:rPr>
              <w:br w:type="textWrapping"/>
            </w:r>
            <w:r>
              <w:rPr>
                <w:rFonts w:hint="eastAsia" w:asciiTheme="minorEastAsia" w:hAnsiTheme="minorEastAsia" w:cstheme="minorEastAsia"/>
                <w:kern w:val="0"/>
                <w:sz w:val="20"/>
                <w:szCs w:val="20"/>
              </w:rPr>
              <w:t>（2）建筑面积1万m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以上，3万m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以下的单体住宅建筑；</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（3）单项建筑造价3000万元以上，1亿元以下的住宅建筑；</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（4）建筑面积20万m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以上、30万m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以下的住宅小区或建筑群体工程；</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（5）单体钢结构工程钢结构重量2000T以上、5000T以下的钢结构工程。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1928"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符合下列条件之一 ：</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（1）地上4层以上，12层以下的住宅建筑；</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（2）建筑面积1000m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以上，1万m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以下的单体住宅建筑；</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（3）单项建筑造价200万元以上，3000万元以下的屋住宅建筑；</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（4）建筑面积10万m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以上，20万m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以下的住宅小区或建筑群体工程；</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（5）钢结构重量200T以上，2000T以下，且钢结构建筑面积2000m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以上的钢结构工程。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567" w:hRule="exac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3</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地下</w:t>
            </w:r>
          </w:p>
          <w:p>
            <w:pPr>
              <w:widowControl/>
              <w:spacing w:line="30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工程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单项地下空间建筑面积3万m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以上的工程。</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20" w:lineRule="exact"/>
              <w:jc w:val="center"/>
              <w:textAlignment w:val="center"/>
              <w:rPr>
                <w:rFonts w:asciiTheme="minorEastAsia" w:hAnsiTheme="minorEastAsia" w:cstheme="minorEastAsia"/>
                <w:kern w:val="0"/>
                <w:sz w:val="20"/>
                <w:szCs w:val="20"/>
              </w:rPr>
            </w:pPr>
          </w:p>
          <w:p>
            <w:pPr>
              <w:widowControl/>
              <w:spacing w:line="240" w:lineRule="exact"/>
              <w:jc w:val="center"/>
              <w:textAlignment w:val="center"/>
              <w:rPr>
                <w:rFonts w:asciiTheme="minorEastAsia" w:hAnsiTheme="minorEastAsia" w:cstheme="minorEastAsia"/>
                <w:kern w:val="0"/>
                <w:sz w:val="20"/>
                <w:szCs w:val="20"/>
              </w:rPr>
            </w:pPr>
          </w:p>
          <w:p>
            <w:pPr>
              <w:widowControl/>
              <w:spacing w:line="280" w:lineRule="exact"/>
              <w:jc w:val="center"/>
              <w:textAlignment w:val="center"/>
              <w:rPr>
                <w:rFonts w:asciiTheme="minorEastAsia" w:hAnsiTheme="minorEastAsia" w:cstheme="minorEastAsia"/>
                <w:kern w:val="0"/>
                <w:sz w:val="20"/>
                <w:szCs w:val="20"/>
              </w:rPr>
            </w:pPr>
          </w:p>
          <w:p>
            <w:pPr>
              <w:widowControl/>
              <w:spacing w:line="220" w:lineRule="exact"/>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567" w:hRule="exac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单项地下空间建筑面积1万m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以上、3万m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以下的工程。</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567" w:hRule="exac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单项地下空间建筑面积1000m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以上、1万m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以下的工程。</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850"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4</w:t>
            </w: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人防</w:t>
            </w:r>
          </w:p>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工程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 xml:space="preserve">符合下列条件之一 ：                       </w:t>
            </w:r>
          </w:p>
          <w:p>
            <w:pPr>
              <w:widowControl/>
              <w:spacing w:line="280" w:lineRule="exact"/>
              <w:textAlignment w:val="center"/>
              <w:rPr>
                <w:rFonts w:asciiTheme="minorEastAsia" w:hAnsiTheme="minorEastAsia" w:cstheme="minorEastAsia"/>
                <w:kern w:val="0"/>
                <w:sz w:val="20"/>
                <w:szCs w:val="20"/>
              </w:rPr>
            </w:pPr>
            <w:r>
              <w:rPr>
                <w:rStyle w:val="12"/>
                <w:rFonts w:hint="default" w:asciiTheme="minorEastAsia" w:hAnsiTheme="minorEastAsia" w:eastAsiaTheme="minorEastAsia" w:cstheme="minorEastAsia"/>
                <w:color w:val="auto"/>
                <w:sz w:val="20"/>
                <w:szCs w:val="20"/>
              </w:rPr>
              <w:t>（1）</w:t>
            </w:r>
            <w:r>
              <w:rPr>
                <w:rStyle w:val="12"/>
                <w:rFonts w:hint="default" w:asciiTheme="minorEastAsia" w:hAnsiTheme="minorEastAsia" w:eastAsiaTheme="minorEastAsia" w:cstheme="minorEastAsia"/>
                <w:color w:val="auto"/>
                <w:spacing w:val="-6"/>
                <w:sz w:val="20"/>
                <w:szCs w:val="20"/>
              </w:rPr>
              <w:t>附建式人防,防护等级四级及以上；</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（2）人防总建筑面积1万m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 xml:space="preserve">以上；           </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（3）人防工程造价2500万元以上。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850"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Style w:val="12"/>
                <w:rFonts w:hint="default" w:asciiTheme="minorEastAsia" w:hAnsiTheme="minorEastAsia" w:eastAsiaTheme="minorEastAsia" w:cstheme="minorEastAsia"/>
                <w:color w:val="auto"/>
                <w:sz w:val="20"/>
                <w:szCs w:val="20"/>
              </w:rPr>
            </w:pPr>
            <w:r>
              <w:rPr>
                <w:rFonts w:hint="eastAsia" w:asciiTheme="minorEastAsia" w:hAnsiTheme="minorEastAsia" w:cstheme="minorEastAsia"/>
                <w:kern w:val="0"/>
                <w:sz w:val="20"/>
                <w:szCs w:val="20"/>
              </w:rPr>
              <w:t>符合下列条件之一 ：</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（1）</w:t>
            </w:r>
            <w:r>
              <w:rPr>
                <w:rStyle w:val="12"/>
                <w:rFonts w:hint="default" w:asciiTheme="minorEastAsia" w:hAnsiTheme="minorEastAsia" w:eastAsiaTheme="minorEastAsia" w:cstheme="minorEastAsia"/>
                <w:color w:val="auto"/>
                <w:spacing w:val="-6"/>
                <w:sz w:val="20"/>
                <w:szCs w:val="20"/>
              </w:rPr>
              <w:t>附建式人防,防护等级不低于五级；</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（2）人防总建筑面积5000m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以上，1万m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以下；</w:t>
            </w:r>
          </w:p>
          <w:p>
            <w:pPr>
              <w:widowControl/>
              <w:spacing w:line="280" w:lineRule="exact"/>
              <w:textAlignment w:val="center"/>
              <w:rPr>
                <w:rFonts w:asciiTheme="minorEastAsia" w:hAnsiTheme="minorEastAsia" w:cstheme="minorEastAsia"/>
                <w:kern w:val="0"/>
                <w:sz w:val="20"/>
                <w:szCs w:val="20"/>
              </w:rPr>
            </w:pPr>
            <w:r>
              <w:rPr>
                <w:rStyle w:val="12"/>
                <w:rFonts w:hint="default" w:asciiTheme="minorEastAsia" w:hAnsiTheme="minorEastAsia" w:eastAsiaTheme="minorEastAsia" w:cstheme="minorEastAsia"/>
                <w:color w:val="auto"/>
                <w:sz w:val="20"/>
                <w:szCs w:val="20"/>
              </w:rPr>
              <w:t>（3）人防工程造价1200万元以上，2500万元以下。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850"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符合下列条件之一 ：</w:t>
            </w:r>
          </w:p>
          <w:p>
            <w:pPr>
              <w:widowControl/>
              <w:spacing w:line="280" w:lineRule="exact"/>
              <w:textAlignment w:val="center"/>
              <w:rPr>
                <w:rFonts w:asciiTheme="minorEastAsia" w:hAnsiTheme="minorEastAsia" w:cstheme="minorEastAsia"/>
                <w:kern w:val="0"/>
                <w:sz w:val="20"/>
                <w:szCs w:val="20"/>
              </w:rPr>
            </w:pPr>
            <w:r>
              <w:rPr>
                <w:rStyle w:val="12"/>
                <w:rFonts w:hint="default" w:asciiTheme="minorEastAsia" w:hAnsiTheme="minorEastAsia" w:eastAsiaTheme="minorEastAsia" w:cstheme="minorEastAsia"/>
                <w:color w:val="auto"/>
                <w:sz w:val="20"/>
                <w:szCs w:val="20"/>
              </w:rPr>
              <w:t>（1）人防总建筑面积1000m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以上，5000m</w:t>
            </w:r>
            <w:r>
              <w:rPr>
                <w:rStyle w:val="13"/>
                <w:rFonts w:hint="default" w:asciiTheme="minorEastAsia" w:hAnsiTheme="minorEastAsia" w:eastAsiaTheme="minorEastAsia" w:cstheme="minorEastAsia"/>
                <w:color w:val="auto"/>
                <w:sz w:val="20"/>
                <w:szCs w:val="20"/>
              </w:rPr>
              <w:t>2</w:t>
            </w:r>
            <w:r>
              <w:rPr>
                <w:rStyle w:val="12"/>
                <w:rFonts w:hint="default" w:asciiTheme="minorEastAsia" w:hAnsiTheme="minorEastAsia" w:eastAsiaTheme="minorEastAsia" w:cstheme="minorEastAsia"/>
                <w:color w:val="auto"/>
                <w:sz w:val="20"/>
                <w:szCs w:val="20"/>
              </w:rPr>
              <w:t>以下；</w:t>
            </w:r>
            <w:r>
              <w:rPr>
                <w:rStyle w:val="12"/>
                <w:rFonts w:hint="default" w:asciiTheme="minorEastAsia" w:hAnsiTheme="minorEastAsia" w:eastAsiaTheme="minorEastAsia" w:cstheme="minorEastAsia"/>
                <w:color w:val="auto"/>
                <w:sz w:val="20"/>
                <w:szCs w:val="20"/>
              </w:rPr>
              <w:br w:type="textWrapping"/>
            </w:r>
            <w:r>
              <w:rPr>
                <w:rStyle w:val="12"/>
                <w:rFonts w:hint="default" w:asciiTheme="minorEastAsia" w:hAnsiTheme="minorEastAsia" w:eastAsiaTheme="minorEastAsia" w:cstheme="minorEastAsia"/>
                <w:color w:val="auto"/>
                <w:sz w:val="20"/>
                <w:szCs w:val="20"/>
              </w:rPr>
              <w:t>（2）人防工程造价300万元以上，1</w:t>
            </w:r>
            <w:r>
              <w:rPr>
                <w:rStyle w:val="12"/>
                <w:rFonts w:hint="default" w:asciiTheme="minorEastAsia" w:hAnsiTheme="minorEastAsia" w:cstheme="minorEastAsia"/>
                <w:color w:val="auto"/>
                <w:sz w:val="20"/>
                <w:szCs w:val="20"/>
              </w:rPr>
              <w:t>20</w:t>
            </w:r>
            <w:r>
              <w:rPr>
                <w:rStyle w:val="12"/>
                <w:rFonts w:hint="default" w:asciiTheme="minorEastAsia" w:hAnsiTheme="minorEastAsia" w:eastAsiaTheme="minorEastAsia" w:cstheme="minorEastAsia"/>
                <w:color w:val="auto"/>
                <w:sz w:val="20"/>
                <w:szCs w:val="20"/>
              </w:rPr>
              <w:t>0万元以下。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567"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5</w:t>
            </w: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装饰装修工程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单项装饰装修工程合同额1500万元以上。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567"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单项装饰装修工程合同额500万元以上，1500万元以下。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567"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单项装饰装修工程合同额80万元以上，500万元以下。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bl>
    <w:p>
      <w:pPr>
        <w:spacing w:line="220" w:lineRule="exact"/>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spacing w:line="540" w:lineRule="exact"/>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三、工程造价专业</w:t>
      </w:r>
    </w:p>
    <w:tbl>
      <w:tblPr>
        <w:tblStyle w:val="5"/>
        <w:tblW w:w="10204" w:type="dxa"/>
        <w:jc w:val="center"/>
        <w:tblLayout w:type="fixed"/>
        <w:tblCellMar>
          <w:top w:w="113" w:type="dxa"/>
          <w:left w:w="57" w:type="dxa"/>
          <w:bottom w:w="57" w:type="dxa"/>
          <w:right w:w="57" w:type="dxa"/>
        </w:tblCellMar>
      </w:tblPr>
      <w:tblGrid>
        <w:gridCol w:w="567"/>
        <w:gridCol w:w="850"/>
        <w:gridCol w:w="850"/>
        <w:gridCol w:w="6803"/>
        <w:gridCol w:w="1134"/>
      </w:tblGrid>
      <w:tr>
        <w:tblPrEx>
          <w:tblCellMar>
            <w:top w:w="113" w:type="dxa"/>
            <w:left w:w="57" w:type="dxa"/>
            <w:bottom w:w="57" w:type="dxa"/>
            <w:right w:w="57" w:type="dxa"/>
          </w:tblCellMar>
        </w:tblPrEx>
        <w:trPr>
          <w:trHeight w:val="567" w:hRule="exact"/>
          <w:tblHeader/>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类型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规模</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参考标准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备注</w:t>
            </w:r>
          </w:p>
        </w:tc>
      </w:tr>
      <w:tr>
        <w:tblPrEx>
          <w:tblCellMar>
            <w:top w:w="113" w:type="dxa"/>
            <w:left w:w="57" w:type="dxa"/>
            <w:bottom w:w="57" w:type="dxa"/>
            <w:right w:w="57" w:type="dxa"/>
          </w:tblCellMar>
        </w:tblPrEx>
        <w:trPr>
          <w:trHeight w:val="1946"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kern w:val="0"/>
                <w:sz w:val="20"/>
                <w:szCs w:val="20"/>
              </w:rPr>
              <w:t>1</w:t>
            </w: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kern w:val="0"/>
                <w:sz w:val="20"/>
                <w:szCs w:val="20"/>
              </w:rPr>
              <w:t>一般公共建筑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（1）地上25层以上的建筑；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（2）高度100m以上的构筑物或建筑物；</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（3）建筑面积3万m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以上的单体建筑；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（4）钢筋混凝土结构单跨30m以上的建筑工程；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（5）钢结构单跨36m以上的建筑工程；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（6）单项建筑造价1亿元以上的建筑工程。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1546"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（1）地上12层以上，25层以下的建筑工程；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（2）高度50m以上，100m以下的构筑物或建筑物；</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（3）建筑面积1万m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以上，3万m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以下的单体建筑；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w:t>
            </w:r>
            <w:r>
              <w:rPr>
                <w:rFonts w:hint="eastAsia" w:asciiTheme="minorEastAsia" w:hAnsiTheme="minorEastAsia" w:cstheme="minorEastAsia"/>
                <w:color w:val="000000"/>
                <w:spacing w:val="-3"/>
                <w:kern w:val="0"/>
                <w:sz w:val="20"/>
                <w:szCs w:val="20"/>
              </w:rPr>
              <w:t>钢筋混凝土结构单跨21m以上，30m</w:t>
            </w:r>
            <w:r>
              <w:rPr>
                <w:rFonts w:hint="eastAsia" w:asciiTheme="minorEastAsia" w:hAnsiTheme="minorEastAsia" w:cstheme="minorEastAsia"/>
                <w:color w:val="000000"/>
                <w:kern w:val="0"/>
                <w:sz w:val="20"/>
                <w:szCs w:val="20"/>
              </w:rPr>
              <w:t>以下的建筑工程；</w:t>
            </w:r>
          </w:p>
          <w:p>
            <w:pPr>
              <w:widowControl/>
              <w:numPr>
                <w:ilvl w:val="0"/>
                <w:numId w:val="1"/>
              </w:numPr>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钢结构单跨24m以上，36m以下的建筑工程；</w:t>
            </w:r>
          </w:p>
          <w:p>
            <w:pPr>
              <w:widowControl/>
              <w:numPr>
                <w:ilvl w:val="0"/>
                <w:numId w:val="1"/>
              </w:numPr>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单项建筑造价3000万元以上、1亿元以下的房屋建筑工程。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1546"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5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（1）地上4层以上，12层以下的建筑工程；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（2）高度10m以上，50m以下的构筑物或建筑物；</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（3）建筑面积1000m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以上，1万m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以下的单体建筑；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w:t>
            </w:r>
            <w:r>
              <w:rPr>
                <w:rFonts w:hint="eastAsia" w:asciiTheme="minorEastAsia" w:hAnsiTheme="minorEastAsia" w:cstheme="minorEastAsia"/>
                <w:color w:val="000000"/>
                <w:spacing w:val="-3"/>
                <w:kern w:val="0"/>
                <w:sz w:val="20"/>
                <w:szCs w:val="20"/>
              </w:rPr>
              <w:t>钢筋混凝土结构单跨18m以上，21m</w:t>
            </w:r>
            <w:r>
              <w:rPr>
                <w:rFonts w:hint="eastAsia" w:asciiTheme="minorEastAsia" w:hAnsiTheme="minorEastAsia" w:cstheme="minorEastAsia"/>
                <w:color w:val="000000"/>
                <w:kern w:val="0"/>
                <w:sz w:val="20"/>
                <w:szCs w:val="20"/>
              </w:rPr>
              <w:t>以下的建筑工程；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（5）钢结构单跨21m以上，24m以下的建筑工程；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（6）单项建筑造价200万元以上、3000万元以下的房屋建筑工程。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1546"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2</w:t>
            </w: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住宅</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宿舍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b/>
                <w:bCs/>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（1）地上25层以上的住宅建筑；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（2）建筑面积3万m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以上的单体住宅建筑；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w:t>
            </w:r>
            <w:r>
              <w:rPr>
                <w:rFonts w:hint="eastAsia" w:asciiTheme="minorEastAsia" w:hAnsiTheme="minorEastAsia" w:cstheme="minorEastAsia"/>
                <w:color w:val="000000"/>
                <w:spacing w:val="8"/>
                <w:kern w:val="0"/>
                <w:sz w:val="20"/>
                <w:szCs w:val="20"/>
              </w:rPr>
              <w:t>钢筋混凝土结构单跨30m以上的住</w:t>
            </w:r>
            <w:r>
              <w:rPr>
                <w:rFonts w:hint="eastAsia" w:asciiTheme="minorEastAsia" w:hAnsiTheme="minorEastAsia" w:cstheme="minorEastAsia"/>
                <w:color w:val="000000"/>
                <w:kern w:val="0"/>
                <w:sz w:val="20"/>
                <w:szCs w:val="20"/>
              </w:rPr>
              <w:t>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（4）钢结构单跨36m以上的住宅建筑；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（5）</w:t>
            </w:r>
            <w:r>
              <w:rPr>
                <w:rFonts w:hint="eastAsia" w:asciiTheme="minorEastAsia" w:hAnsiTheme="minorEastAsia" w:cstheme="minorEastAsia"/>
                <w:color w:val="000000"/>
                <w:spacing w:val="5"/>
                <w:kern w:val="0"/>
                <w:sz w:val="20"/>
                <w:szCs w:val="20"/>
              </w:rPr>
              <w:t>单项建筑造价1亿元以上的住宅建</w:t>
            </w:r>
            <w:r>
              <w:rPr>
                <w:rFonts w:hint="eastAsia" w:asciiTheme="minorEastAsia" w:hAnsiTheme="minorEastAsia" w:cstheme="minorEastAsia"/>
                <w:color w:val="000000"/>
                <w:kern w:val="0"/>
                <w:sz w:val="20"/>
                <w:szCs w:val="20"/>
              </w:rPr>
              <w:t>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（6）建筑面积30万m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以上的住宅小区或建筑群体工程。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1546"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（1）地上12层以上、25层以下的住宅建筑；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（2）建筑面积1万m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以上、3万m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以下的单体住宅建筑；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w:t>
            </w:r>
            <w:r>
              <w:rPr>
                <w:rFonts w:hint="eastAsia" w:asciiTheme="minorEastAsia" w:hAnsiTheme="minorEastAsia" w:cstheme="minorEastAsia"/>
                <w:color w:val="000000"/>
                <w:spacing w:val="-3"/>
                <w:kern w:val="0"/>
                <w:sz w:val="20"/>
                <w:szCs w:val="20"/>
              </w:rPr>
              <w:t>钢筋混凝土结构单跨21m以上、30m</w:t>
            </w:r>
            <w:r>
              <w:rPr>
                <w:rFonts w:hint="eastAsia" w:asciiTheme="minorEastAsia" w:hAnsiTheme="minorEastAsia" w:cstheme="minorEastAsia"/>
                <w:color w:val="000000"/>
                <w:kern w:val="0"/>
                <w:sz w:val="20"/>
                <w:szCs w:val="20"/>
              </w:rPr>
              <w:t>以下的住宅建筑；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w:t>
            </w:r>
            <w:r>
              <w:rPr>
                <w:rFonts w:hint="eastAsia" w:asciiTheme="minorEastAsia" w:hAnsiTheme="minorEastAsia" w:cstheme="minorEastAsia"/>
                <w:color w:val="000000"/>
                <w:spacing w:val="2"/>
                <w:kern w:val="0"/>
                <w:sz w:val="20"/>
                <w:szCs w:val="20"/>
              </w:rPr>
              <w:t>钢结构单跨24m以上、36m以下的</w:t>
            </w:r>
            <w:r>
              <w:rPr>
                <w:rFonts w:hint="eastAsia" w:asciiTheme="minorEastAsia" w:hAnsiTheme="minorEastAsia" w:cstheme="minorEastAsia"/>
                <w:color w:val="000000"/>
                <w:kern w:val="0"/>
                <w:sz w:val="20"/>
                <w:szCs w:val="20"/>
              </w:rPr>
              <w:t>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（5）单项建筑造价3000万元以上、1亿元以下的屋住宅建筑；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（6）建筑面积20万m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以上、30万m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以下的住宅小区或建筑群体工程。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1546"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（1）地上4层以上、12层以下的住宅建筑；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（2）建筑面积1000m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以上、1万m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以下的单体住宅建筑；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w:t>
            </w:r>
            <w:r>
              <w:rPr>
                <w:rFonts w:hint="eastAsia" w:asciiTheme="minorEastAsia" w:hAnsiTheme="minorEastAsia" w:cstheme="minorEastAsia"/>
                <w:color w:val="000000"/>
                <w:spacing w:val="3"/>
                <w:kern w:val="0"/>
                <w:sz w:val="20"/>
                <w:szCs w:val="20"/>
              </w:rPr>
              <w:t>钢筋混凝土结构单跨18m以上、21m</w:t>
            </w:r>
            <w:r>
              <w:rPr>
                <w:rFonts w:hint="eastAsia" w:asciiTheme="minorEastAsia" w:hAnsiTheme="minorEastAsia" w:cstheme="minorEastAsia"/>
                <w:color w:val="000000"/>
                <w:kern w:val="0"/>
                <w:sz w:val="20"/>
                <w:szCs w:val="20"/>
              </w:rPr>
              <w:t>以下的住宅建筑；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w:t>
            </w:r>
            <w:r>
              <w:rPr>
                <w:rFonts w:hint="eastAsia" w:asciiTheme="minorEastAsia" w:hAnsiTheme="minorEastAsia" w:cstheme="minorEastAsia"/>
                <w:color w:val="000000"/>
                <w:spacing w:val="3"/>
                <w:kern w:val="0"/>
                <w:sz w:val="20"/>
                <w:szCs w:val="20"/>
              </w:rPr>
              <w:t>钢结构单跨21m以上24m以下的住</w:t>
            </w:r>
            <w:r>
              <w:rPr>
                <w:rFonts w:hint="eastAsia" w:asciiTheme="minorEastAsia" w:hAnsiTheme="minorEastAsia" w:cstheme="minorEastAsia"/>
                <w:color w:val="000000"/>
                <w:kern w:val="0"/>
                <w:sz w:val="20"/>
                <w:szCs w:val="20"/>
              </w:rPr>
              <w:t>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（5）单项建筑造价200万元以上3000万元以下的屋住宅建筑；</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（6）建筑面积10万m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以上20万m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以下的住宅小区或建筑群体工程。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1546"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3</w:t>
            </w:r>
          </w:p>
          <w:p>
            <w:pPr>
              <w:widowControl/>
              <w:spacing w:line="220" w:lineRule="exact"/>
              <w:jc w:val="center"/>
              <w:textAlignment w:val="center"/>
              <w:rPr>
                <w:rFonts w:asciiTheme="minorEastAsia" w:hAnsiTheme="minorEastAsia" w:cstheme="minorEastAsia"/>
                <w:kern w:val="0"/>
                <w:sz w:val="20"/>
                <w:szCs w:val="20"/>
              </w:rPr>
            </w:pP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地下</w:t>
            </w:r>
          </w:p>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工程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地下工程造价1000万元以上，且符合下列条件之一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（1）25层以上民用建筑工程，或高度</w:t>
            </w:r>
            <w:r>
              <w:rPr>
                <w:rFonts w:hint="eastAsia" w:asciiTheme="minorEastAsia" w:hAnsiTheme="minorEastAsia" w:cstheme="minorEastAsia"/>
                <w:color w:val="000000"/>
                <w:spacing w:val="-6"/>
                <w:kern w:val="0"/>
                <w:sz w:val="20"/>
                <w:szCs w:val="20"/>
              </w:rPr>
              <w:t>100m以上构筑物的地基基础工程</w:t>
            </w:r>
            <w:r>
              <w:rPr>
                <w:rFonts w:hint="eastAsia" w:asciiTheme="minorEastAsia" w:hAnsiTheme="minorEastAsia" w:cstheme="minorEastAsia"/>
                <w:color w:val="000000"/>
                <w:kern w:val="0"/>
                <w:sz w:val="20"/>
                <w:szCs w:val="20"/>
              </w:rPr>
              <w:t>；</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（2）刚</w:t>
            </w:r>
            <w:r>
              <w:rPr>
                <w:rFonts w:hint="eastAsia" w:asciiTheme="minorEastAsia" w:hAnsiTheme="minorEastAsia" w:cstheme="minorEastAsia"/>
                <w:color w:val="000000"/>
                <w:spacing w:val="-6"/>
                <w:kern w:val="0"/>
                <w:sz w:val="20"/>
                <w:szCs w:val="20"/>
              </w:rPr>
              <w:t>性桩复合地基处理深度超</w:t>
            </w:r>
            <w:r>
              <w:rPr>
                <w:rFonts w:hint="eastAsia" w:asciiTheme="minorEastAsia" w:hAnsiTheme="minorEastAsia" w:cstheme="minorEastAsia"/>
                <w:color w:val="000000"/>
                <w:kern w:val="0"/>
                <w:sz w:val="20"/>
                <w:szCs w:val="20"/>
              </w:rPr>
              <w:t>过18m,</w:t>
            </w:r>
            <w:r>
              <w:rPr>
                <w:rFonts w:hint="eastAsia" w:asciiTheme="minorEastAsia" w:hAnsiTheme="minorEastAsia" w:cstheme="minorEastAsia"/>
                <w:color w:val="000000"/>
                <w:spacing w:val="-9"/>
                <w:kern w:val="0"/>
                <w:sz w:val="20"/>
                <w:szCs w:val="20"/>
              </w:rPr>
              <w:t>或深度超过8m的其它地基处理工程</w:t>
            </w:r>
            <w:r>
              <w:rPr>
                <w:rFonts w:hint="eastAsia" w:asciiTheme="minorEastAsia" w:hAnsiTheme="minorEastAsia" w:cstheme="minorEastAsia"/>
                <w:color w:val="000000"/>
                <w:kern w:val="0"/>
                <w:sz w:val="20"/>
                <w:szCs w:val="20"/>
              </w:rPr>
              <w:t>；</w:t>
            </w:r>
          </w:p>
          <w:p>
            <w:pPr>
              <w:widowControl/>
              <w:spacing w:line="27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（3）单桩承受设计荷载6000kN以上的桩基础工程；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w:t>
            </w:r>
            <w:r>
              <w:rPr>
                <w:rFonts w:hint="eastAsia" w:asciiTheme="minorEastAsia" w:hAnsiTheme="minorEastAsia" w:cstheme="minorEastAsia"/>
                <w:color w:val="000000"/>
                <w:spacing w:val="11"/>
                <w:kern w:val="0"/>
                <w:sz w:val="20"/>
                <w:szCs w:val="20"/>
              </w:rPr>
              <w:t>开</w:t>
            </w:r>
            <w:r>
              <w:rPr>
                <w:rFonts w:hint="eastAsia" w:asciiTheme="minorEastAsia" w:hAnsiTheme="minorEastAsia" w:cstheme="minorEastAsia"/>
                <w:color w:val="000000"/>
                <w:spacing w:val="6"/>
                <w:kern w:val="0"/>
                <w:sz w:val="20"/>
                <w:szCs w:val="20"/>
              </w:rPr>
              <w:t>挖深度12m以上的基坑围护及土石方工程</w:t>
            </w:r>
            <w:r>
              <w:rPr>
                <w:rFonts w:hint="eastAsia" w:asciiTheme="minorEastAsia" w:hAnsiTheme="minorEastAsia" w:cstheme="minorEastAsia"/>
                <w:color w:val="000000"/>
                <w:kern w:val="0"/>
                <w:sz w:val="20"/>
                <w:szCs w:val="20"/>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1546"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（1）12层以上，25层以下民用建筑工程，或高度80m以上，100m以下构筑物的地基基础工程；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（2）刚性桩复合地基处理深度12m以上，18m以下，或深度6m以上，8m以下的其它地基处理工程，且造价600万元以上；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（3）单桩承受设计荷载3000kN以上，6000kN以下的桩基础工程；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（4）开挖深度9m以上，12m以下的基坑围护及土石方工程。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1546"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p>
          <w:p>
            <w:pPr>
              <w:widowControl/>
              <w:spacing w:line="27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（1）4层以上，12层以下民用建筑工程，或高度50m以上，80m以下构筑物的地基基础工程；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（2）刚性桩复合地基处理深度超过6m以上，12m以下，或深度4m以上，8m以下的其它地基处理工程，且造价100万元以上；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（3）单桩承受设计荷载1000kN以上，3000kN以下的桩基础工程；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（4）开挖深度5m以上，9m以下的基坑围护及土石方工程。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396"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4</w:t>
            </w: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装饰装修工程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单项装饰装修工程合同额1500万元以上。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376"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单项装饰装修工程合同额500万元以上，1500万元以下。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459"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单项装饰装修工程合同额80万元以上，500万元以下；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993" w:hRule="exac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5</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幕墙</w:t>
            </w:r>
          </w:p>
          <w:p>
            <w:pPr>
              <w:widowControl/>
              <w:spacing w:line="30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工程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（1）单体建筑工程幕墙面积6000m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以上的工程；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（2）单项工程造价1000万元以上的幕墙工程。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1079" w:hRule="exac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00" w:lineRule="exact"/>
              <w:jc w:val="center"/>
              <w:textAlignment w:val="center"/>
              <w:rPr>
                <w:rFonts w:asciiTheme="minorEastAsia" w:hAnsiTheme="minorEastAsia" w:cstheme="minorEastAsia"/>
                <w:color w:val="000000"/>
                <w:kern w:val="0"/>
                <w:sz w:val="20"/>
                <w:szCs w:val="20"/>
              </w:rPr>
            </w:pPr>
          </w:p>
          <w:p>
            <w:pPr>
              <w:widowControl/>
              <w:spacing w:line="200" w:lineRule="exact"/>
              <w:jc w:val="center"/>
              <w:textAlignment w:val="center"/>
              <w:rPr>
                <w:rFonts w:asciiTheme="minorEastAsia" w:hAnsiTheme="minorEastAsia" w:cstheme="minorEastAsia"/>
                <w:color w:val="000000"/>
                <w:kern w:val="0"/>
                <w:sz w:val="20"/>
                <w:szCs w:val="20"/>
              </w:rPr>
            </w:pPr>
          </w:p>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p>
            <w:pPr>
              <w:widowControl/>
              <w:spacing w:line="280" w:lineRule="exact"/>
              <w:jc w:val="center"/>
              <w:textAlignment w:val="center"/>
              <w:rPr>
                <w:rFonts w:asciiTheme="minorEastAsia" w:hAnsiTheme="minorEastAsia" w:cstheme="minorEastAsia"/>
                <w:color w:val="000000"/>
                <w:kern w:val="0"/>
                <w:sz w:val="20"/>
                <w:szCs w:val="20"/>
              </w:rPr>
            </w:pPr>
          </w:p>
          <w:p>
            <w:pPr>
              <w:widowControl/>
              <w:spacing w:line="280" w:lineRule="exact"/>
              <w:jc w:val="center"/>
              <w:textAlignment w:val="center"/>
              <w:rPr>
                <w:rFonts w:asciiTheme="minorEastAsia" w:hAnsiTheme="minorEastAsia" w:cstheme="minorEastAsia"/>
                <w:color w:val="000000"/>
                <w:kern w:val="0"/>
                <w:sz w:val="20"/>
                <w:szCs w:val="20"/>
              </w:rPr>
            </w:pPr>
          </w:p>
          <w:p>
            <w:pPr>
              <w:widowControl/>
              <w:spacing w:line="280" w:lineRule="exact"/>
              <w:textAlignment w:val="center"/>
              <w:rPr>
                <w:rFonts w:asciiTheme="minorEastAsia" w:hAnsiTheme="minorEastAsia" w:cstheme="minorEastAsia"/>
                <w:color w:val="000000"/>
                <w:kern w:val="0"/>
                <w:sz w:val="20"/>
                <w:szCs w:val="20"/>
              </w:rPr>
            </w:pP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（1）单体建筑工程幕墙面积2000m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以上，6000m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（2）单项工程造价500万元以上，1000万元以下的幕墙工程。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926" w:hRule="exac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（1）单体建筑工程幕墙面积800m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以上，2000m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w:t>
            </w:r>
            <w:r>
              <w:rPr>
                <w:rFonts w:hint="eastAsia" w:asciiTheme="minorEastAsia" w:hAnsiTheme="minorEastAsia" w:cstheme="minorEastAsia"/>
                <w:color w:val="000000"/>
                <w:spacing w:val="-9"/>
                <w:kern w:val="0"/>
                <w:sz w:val="20"/>
                <w:szCs w:val="20"/>
              </w:rPr>
              <w:t>单项工程造价80万元以上，500</w:t>
            </w:r>
            <w:r>
              <w:rPr>
                <w:rFonts w:hint="eastAsia" w:asciiTheme="minorEastAsia" w:hAnsiTheme="minorEastAsia" w:cstheme="minorEastAsia"/>
                <w:color w:val="000000"/>
                <w:kern w:val="0"/>
                <w:sz w:val="20"/>
                <w:szCs w:val="20"/>
              </w:rPr>
              <w:t>万元以下的幕墙工程。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548" w:hRule="atLeast"/>
          <w:jc w:val="center"/>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6</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防腐保温工程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单项合同额500万元以上，且防腐蚀技术符合相关技术性要求的防腐保温工程。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666"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单项合同额400万元以上，500万元以下，且防腐蚀技术符合相关技术性要求的防腐保温工程。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524" w:hRule="atLeast"/>
          <w:jc w:val="center"/>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单项合同额200万元以上，400万元以下，且防腐蚀技术符合相关技术性要求的防腐保温工程。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bl>
    <w:p>
      <w:pPr>
        <w:spacing w:line="220" w:lineRule="exact"/>
        <w:rPr>
          <w:rFonts w:ascii="方正楷体_GBK" w:hAnsi="方正楷体_GBK" w:eastAsia="方正楷体_GBK" w:cs="方正楷体_GBK"/>
          <w:sz w:val="20"/>
          <w:szCs w:val="20"/>
        </w:rPr>
      </w:pP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四、白蚁防治专业</w:t>
      </w:r>
    </w:p>
    <w:tbl>
      <w:tblPr>
        <w:tblStyle w:val="5"/>
        <w:tblW w:w="10204" w:type="dxa"/>
        <w:jc w:val="center"/>
        <w:tblLayout w:type="fixed"/>
        <w:tblCellMar>
          <w:top w:w="113" w:type="dxa"/>
          <w:left w:w="57" w:type="dxa"/>
          <w:bottom w:w="57" w:type="dxa"/>
          <w:right w:w="57" w:type="dxa"/>
        </w:tblCellMar>
      </w:tblPr>
      <w:tblGrid>
        <w:gridCol w:w="567"/>
        <w:gridCol w:w="850"/>
        <w:gridCol w:w="850"/>
        <w:gridCol w:w="6803"/>
        <w:gridCol w:w="1134"/>
      </w:tblGrid>
      <w:tr>
        <w:tblPrEx>
          <w:tblCellMar>
            <w:top w:w="113" w:type="dxa"/>
            <w:left w:w="57" w:type="dxa"/>
            <w:bottom w:w="57" w:type="dxa"/>
            <w:right w:w="57" w:type="dxa"/>
          </w:tblCellMar>
        </w:tblPrEx>
        <w:trPr>
          <w:trHeight w:val="597" w:hRule="atLeast"/>
          <w:tblHeader/>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类型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规模</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参考标准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备注</w:t>
            </w:r>
          </w:p>
        </w:tc>
      </w:tr>
      <w:tr>
        <w:tblPrEx>
          <w:tblCellMar>
            <w:top w:w="113" w:type="dxa"/>
            <w:left w:w="57" w:type="dxa"/>
            <w:bottom w:w="57" w:type="dxa"/>
            <w:right w:w="57" w:type="dxa"/>
          </w:tblCellMar>
        </w:tblPrEx>
        <w:trPr>
          <w:trHeight w:val="2835"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p>
            <w:pPr>
              <w:widowControl/>
              <w:spacing w:line="240" w:lineRule="exact"/>
              <w:jc w:val="center"/>
              <w:textAlignment w:val="center"/>
              <w:rPr>
                <w:rFonts w:asciiTheme="minorEastAsia" w:hAnsiTheme="minorEastAsia" w:cstheme="minorEastAsia"/>
                <w:color w:val="000000"/>
                <w:kern w:val="0"/>
                <w:sz w:val="20"/>
                <w:szCs w:val="20"/>
              </w:rPr>
            </w:pP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白蚁</w:t>
            </w:r>
          </w:p>
          <w:p>
            <w:pPr>
              <w:widowControl/>
              <w:spacing w:line="30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color w:val="000000"/>
                <w:kern w:val="0"/>
                <w:sz w:val="20"/>
                <w:szCs w:val="20"/>
              </w:rPr>
              <w:t>防治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p>
          <w:p>
            <w:pPr>
              <w:widowControl/>
              <w:spacing w:line="26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（1）单体建筑面积3万</w:t>
            </w:r>
            <w:r>
              <w:rPr>
                <w:rFonts w:hint="eastAsia" w:asciiTheme="minorEastAsia" w:hAnsiTheme="minorEastAsia" w:cstheme="minorEastAsia"/>
                <w:color w:val="000000" w:themeColor="text1"/>
                <w:spacing w:val="-3"/>
                <w:kern w:val="0"/>
                <w:sz w:val="20"/>
                <w:szCs w:val="20"/>
                <w14:textFill>
                  <w14:solidFill>
                    <w14:schemeClr w14:val="tx1"/>
                  </w14:solidFill>
                </w14:textFill>
              </w:rPr>
              <w:t>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color w:val="000000"/>
                <w:kern w:val="0"/>
                <w:sz w:val="20"/>
                <w:szCs w:val="20"/>
              </w:rPr>
              <w:t>以上的建筑白蚁防治工程；</w:t>
            </w:r>
          </w:p>
          <w:p>
            <w:pPr>
              <w:widowControl/>
              <w:spacing w:line="26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（2）单项建筑造价1亿元以上的建筑白蚁防治工程；</w:t>
            </w:r>
          </w:p>
          <w:p>
            <w:pPr>
              <w:widowControl/>
              <w:spacing w:line="26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（3）灭治面积2000</w:t>
            </w:r>
            <w:r>
              <w:rPr>
                <w:rFonts w:hint="eastAsia" w:asciiTheme="minorEastAsia" w:hAnsiTheme="minorEastAsia" w:cstheme="minorEastAsia"/>
                <w:color w:val="000000" w:themeColor="text1"/>
                <w:spacing w:val="-3"/>
                <w:kern w:val="0"/>
                <w:sz w:val="20"/>
                <w:szCs w:val="20"/>
                <w14:textFill>
                  <w14:solidFill>
                    <w14:schemeClr w14:val="tx1"/>
                  </w14:solidFill>
                </w14:textFill>
              </w:rPr>
              <w:t xml:space="preserve"> 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color w:val="000000"/>
                <w:kern w:val="0"/>
                <w:sz w:val="20"/>
                <w:szCs w:val="20"/>
              </w:rPr>
              <w:t>以上的国家级重点文物保护单位的古建筑白蚁灭治工程；</w:t>
            </w:r>
          </w:p>
          <w:p>
            <w:pPr>
              <w:widowControl/>
              <w:spacing w:line="26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（4）灭治面积3000</w:t>
            </w:r>
            <w:r>
              <w:rPr>
                <w:rFonts w:hint="eastAsia" w:asciiTheme="minorEastAsia" w:hAnsiTheme="minorEastAsia" w:cstheme="minorEastAsia"/>
                <w:color w:val="000000" w:themeColor="text1"/>
                <w:spacing w:val="-3"/>
                <w:kern w:val="0"/>
                <w:sz w:val="20"/>
                <w:szCs w:val="20"/>
                <w14:textFill>
                  <w14:solidFill>
                    <w14:schemeClr w14:val="tx1"/>
                  </w14:solidFill>
                </w14:textFill>
              </w:rPr>
              <w:t xml:space="preserve"> 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color w:val="000000"/>
                <w:kern w:val="0"/>
                <w:sz w:val="20"/>
                <w:szCs w:val="20"/>
              </w:rPr>
              <w:t>以上的省级重点文物保护单位的古建筑白蚁灭治工程；</w:t>
            </w:r>
          </w:p>
          <w:p>
            <w:pPr>
              <w:widowControl/>
              <w:spacing w:line="26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（5）总库容1亿m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以上的水库白蚁灭治工程；</w:t>
            </w:r>
          </w:p>
          <w:p>
            <w:pPr>
              <w:widowControl/>
              <w:spacing w:line="26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（6）堤防加固工程总投资1亿元以上工程的白蚁防治工程；</w:t>
            </w:r>
          </w:p>
          <w:p>
            <w:pPr>
              <w:widowControl/>
              <w:spacing w:line="26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（7）白蚁防治费用300万元以上的水利工程；</w:t>
            </w:r>
          </w:p>
          <w:p>
            <w:pPr>
              <w:widowControl/>
              <w:spacing w:line="260" w:lineRule="exact"/>
              <w:jc w:val="left"/>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kern w:val="0"/>
                <w:sz w:val="20"/>
                <w:szCs w:val="20"/>
              </w:rPr>
              <w:t>（8）占地面积60万</w:t>
            </w:r>
            <w:r>
              <w:rPr>
                <w:rFonts w:hint="eastAsia" w:asciiTheme="minorEastAsia" w:hAnsiTheme="minorEastAsia" w:cstheme="minorEastAsia"/>
                <w:color w:val="000000" w:themeColor="text1"/>
                <w:spacing w:val="-3"/>
                <w:kern w:val="0"/>
                <w:sz w:val="20"/>
                <w:szCs w:val="20"/>
                <w14:textFill>
                  <w14:solidFill>
                    <w14:schemeClr w14:val="tx1"/>
                  </w14:solidFill>
                </w14:textFill>
              </w:rPr>
              <w:t>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color w:val="000000"/>
                <w:kern w:val="0"/>
                <w:sz w:val="20"/>
                <w:szCs w:val="20"/>
              </w:rPr>
              <w:t>以上的绿化白蚁灭治工程。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2835"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符合下列条件之一 ：</w:t>
            </w:r>
          </w:p>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（1）单体建筑面积1万</w:t>
            </w:r>
            <w:r>
              <w:rPr>
                <w:rFonts w:hint="eastAsia" w:asciiTheme="minorEastAsia" w:hAnsiTheme="minorEastAsia" w:cstheme="minorEastAsia"/>
                <w:color w:val="000000" w:themeColor="text1"/>
                <w:spacing w:val="-3"/>
                <w:kern w:val="0"/>
                <w:sz w:val="20"/>
                <w:szCs w:val="20"/>
                <w14:textFill>
                  <w14:solidFill>
                    <w14:schemeClr w14:val="tx1"/>
                  </w14:solidFill>
                </w14:textFill>
              </w:rPr>
              <w:t>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kern w:val="0"/>
                <w:sz w:val="20"/>
                <w:szCs w:val="20"/>
              </w:rPr>
              <w:t>以上，3万</w:t>
            </w:r>
            <w:r>
              <w:rPr>
                <w:rFonts w:hint="eastAsia" w:asciiTheme="minorEastAsia" w:hAnsiTheme="minorEastAsia" w:cstheme="minorEastAsia"/>
                <w:color w:val="000000" w:themeColor="text1"/>
                <w:spacing w:val="-3"/>
                <w:kern w:val="0"/>
                <w:sz w:val="20"/>
                <w:szCs w:val="20"/>
                <w14:textFill>
                  <w14:solidFill>
                    <w14:schemeClr w14:val="tx1"/>
                  </w14:solidFill>
                </w14:textFill>
              </w:rPr>
              <w:t>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kern w:val="0"/>
                <w:sz w:val="20"/>
                <w:szCs w:val="20"/>
              </w:rPr>
              <w:t>以下的建筑白蚁防治工程；</w:t>
            </w:r>
          </w:p>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（2）单项建筑造价3000万元以上，1亿元以下建筑白蚁防治工程；</w:t>
            </w:r>
          </w:p>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（3）灭治面积1000</w:t>
            </w:r>
            <w:r>
              <w:rPr>
                <w:rFonts w:hint="eastAsia" w:asciiTheme="minorEastAsia" w:hAnsiTheme="minorEastAsia" w:cstheme="minorEastAsia"/>
                <w:color w:val="000000" w:themeColor="text1"/>
                <w:spacing w:val="-3"/>
                <w:kern w:val="0"/>
                <w:sz w:val="20"/>
                <w:szCs w:val="20"/>
                <w14:textFill>
                  <w14:solidFill>
                    <w14:schemeClr w14:val="tx1"/>
                  </w14:solidFill>
                </w14:textFill>
              </w:rPr>
              <w:t xml:space="preserve"> 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kern w:val="0"/>
                <w:sz w:val="20"/>
                <w:szCs w:val="20"/>
              </w:rPr>
              <w:t>以上，2000</w:t>
            </w:r>
            <w:r>
              <w:rPr>
                <w:rFonts w:hint="eastAsia" w:asciiTheme="minorEastAsia" w:hAnsiTheme="minorEastAsia" w:cstheme="minorEastAsia"/>
                <w:color w:val="000000" w:themeColor="text1"/>
                <w:spacing w:val="-3"/>
                <w:kern w:val="0"/>
                <w:sz w:val="20"/>
                <w:szCs w:val="20"/>
                <w14:textFill>
                  <w14:solidFill>
                    <w14:schemeClr w14:val="tx1"/>
                  </w14:solidFill>
                </w14:textFill>
              </w:rPr>
              <w:t xml:space="preserve"> 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kern w:val="0"/>
                <w:sz w:val="20"/>
                <w:szCs w:val="20"/>
              </w:rPr>
              <w:t>以下的国家级重点文物保护单位的古建筑白蚁灭治工程；</w:t>
            </w:r>
          </w:p>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（4）灭治面积2000</w:t>
            </w:r>
            <w:r>
              <w:rPr>
                <w:rFonts w:hint="eastAsia" w:asciiTheme="minorEastAsia" w:hAnsiTheme="minorEastAsia" w:cstheme="minorEastAsia"/>
                <w:color w:val="000000" w:themeColor="text1"/>
                <w:spacing w:val="-3"/>
                <w:kern w:val="0"/>
                <w:sz w:val="20"/>
                <w:szCs w:val="20"/>
                <w14:textFill>
                  <w14:solidFill>
                    <w14:schemeClr w14:val="tx1"/>
                  </w14:solidFill>
                </w14:textFill>
              </w:rPr>
              <w:t xml:space="preserve"> 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kern w:val="0"/>
                <w:sz w:val="20"/>
                <w:szCs w:val="20"/>
              </w:rPr>
              <w:t>以上，3000</w:t>
            </w:r>
            <w:r>
              <w:rPr>
                <w:rFonts w:hint="eastAsia" w:asciiTheme="minorEastAsia" w:hAnsiTheme="minorEastAsia" w:cstheme="minorEastAsia"/>
                <w:color w:val="000000" w:themeColor="text1"/>
                <w:spacing w:val="-3"/>
                <w:kern w:val="0"/>
                <w:sz w:val="20"/>
                <w:szCs w:val="20"/>
                <w14:textFill>
                  <w14:solidFill>
                    <w14:schemeClr w14:val="tx1"/>
                  </w14:solidFill>
                </w14:textFill>
              </w:rPr>
              <w:t xml:space="preserve"> 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kern w:val="0"/>
                <w:sz w:val="20"/>
                <w:szCs w:val="20"/>
              </w:rPr>
              <w:t>以下的省级重点文物保护单位的古建筑白蚁灭治工程；</w:t>
            </w:r>
          </w:p>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（5）灭治面积4000</w:t>
            </w:r>
            <w:r>
              <w:rPr>
                <w:rFonts w:hint="eastAsia" w:asciiTheme="minorEastAsia" w:hAnsiTheme="minorEastAsia" w:cstheme="minorEastAsia"/>
                <w:color w:val="000000" w:themeColor="text1"/>
                <w:spacing w:val="-3"/>
                <w:kern w:val="0"/>
                <w:sz w:val="20"/>
                <w:szCs w:val="20"/>
                <w14:textFill>
                  <w14:solidFill>
                    <w14:schemeClr w14:val="tx1"/>
                  </w14:solidFill>
                </w14:textFill>
              </w:rPr>
              <w:t xml:space="preserve"> 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kern w:val="0"/>
                <w:sz w:val="20"/>
                <w:szCs w:val="20"/>
              </w:rPr>
              <w:t>以上的市级重点文物保护单位的古建筑白蚁灭治工程；</w:t>
            </w:r>
          </w:p>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（6）总库容1000万</w:t>
            </w:r>
            <w:r>
              <w:rPr>
                <w:rFonts w:hint="eastAsia" w:asciiTheme="minorEastAsia" w:hAnsiTheme="minorEastAsia" w:cstheme="minorEastAsia"/>
                <w:color w:val="000000"/>
                <w:kern w:val="0"/>
                <w:sz w:val="20"/>
                <w:szCs w:val="20"/>
              </w:rPr>
              <w:t>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kern w:val="0"/>
                <w:sz w:val="20"/>
                <w:szCs w:val="20"/>
              </w:rPr>
              <w:t>以上，1亿</w:t>
            </w:r>
            <w:r>
              <w:rPr>
                <w:rFonts w:hint="eastAsia" w:asciiTheme="minorEastAsia" w:hAnsiTheme="minorEastAsia" w:cstheme="minorEastAsia"/>
                <w:color w:val="000000"/>
                <w:kern w:val="0"/>
                <w:sz w:val="20"/>
                <w:szCs w:val="20"/>
              </w:rPr>
              <w:t>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kern w:val="0"/>
                <w:sz w:val="20"/>
                <w:szCs w:val="20"/>
              </w:rPr>
              <w:t>以下的水库白蚁灭治工程；</w:t>
            </w:r>
          </w:p>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（7）堤防加固总投资1000万元以上，1亿元以下工程的白蚁防治工程；</w:t>
            </w:r>
          </w:p>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（8）白蚁防治费用100万元以上，300万元以下的水利工程；</w:t>
            </w:r>
          </w:p>
          <w:p>
            <w:pPr>
              <w:widowControl/>
              <w:spacing w:line="260" w:lineRule="exact"/>
              <w:jc w:val="left"/>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（9）占地面积30万</w:t>
            </w:r>
            <w:r>
              <w:rPr>
                <w:rFonts w:hint="eastAsia" w:asciiTheme="minorEastAsia" w:hAnsiTheme="minorEastAsia" w:cstheme="minorEastAsia"/>
                <w:color w:val="000000" w:themeColor="text1"/>
                <w:spacing w:val="-3"/>
                <w:kern w:val="0"/>
                <w:sz w:val="20"/>
                <w:szCs w:val="20"/>
                <w14:textFill>
                  <w14:solidFill>
                    <w14:schemeClr w14:val="tx1"/>
                  </w14:solidFill>
                </w14:textFill>
              </w:rPr>
              <w:t>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kern w:val="0"/>
                <w:sz w:val="20"/>
                <w:szCs w:val="20"/>
              </w:rPr>
              <w:t>以上，60万</w:t>
            </w:r>
            <w:r>
              <w:rPr>
                <w:rFonts w:hint="eastAsia" w:asciiTheme="minorEastAsia" w:hAnsiTheme="minorEastAsia" w:cstheme="minorEastAsia"/>
                <w:color w:val="000000" w:themeColor="text1"/>
                <w:spacing w:val="-3"/>
                <w:kern w:val="0"/>
                <w:sz w:val="20"/>
                <w:szCs w:val="20"/>
                <w14:textFill>
                  <w14:solidFill>
                    <w14:schemeClr w14:val="tx1"/>
                  </w14:solidFill>
                </w14:textFill>
              </w:rPr>
              <w:t>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kern w:val="0"/>
                <w:sz w:val="20"/>
                <w:szCs w:val="20"/>
              </w:rPr>
              <w:t>以下的绿化白蚁灭治工程。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2835"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p>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kern w:val="0"/>
                <w:sz w:val="20"/>
                <w:szCs w:val="20"/>
              </w:rPr>
              <w:t>（1）</w:t>
            </w:r>
            <w:r>
              <w:rPr>
                <w:rFonts w:hint="eastAsia" w:asciiTheme="minorEastAsia" w:hAnsiTheme="minorEastAsia" w:cstheme="minorEastAsia"/>
                <w:color w:val="000000"/>
                <w:kern w:val="0"/>
                <w:sz w:val="20"/>
                <w:szCs w:val="20"/>
              </w:rPr>
              <w:t>单体建筑面积1000</w:t>
            </w:r>
            <w:r>
              <w:rPr>
                <w:rFonts w:hint="eastAsia" w:asciiTheme="minorEastAsia" w:hAnsiTheme="minorEastAsia" w:cstheme="minorEastAsia"/>
                <w:color w:val="000000" w:themeColor="text1"/>
                <w:spacing w:val="-3"/>
                <w:kern w:val="0"/>
                <w:sz w:val="20"/>
                <w:szCs w:val="20"/>
                <w14:textFill>
                  <w14:solidFill>
                    <w14:schemeClr w14:val="tx1"/>
                  </w14:solidFill>
                </w14:textFill>
              </w:rPr>
              <w:t xml:space="preserve"> 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color w:val="000000"/>
                <w:kern w:val="0"/>
                <w:sz w:val="20"/>
                <w:szCs w:val="20"/>
              </w:rPr>
              <w:t>以上，1万</w:t>
            </w:r>
            <w:r>
              <w:rPr>
                <w:rFonts w:hint="eastAsia" w:asciiTheme="minorEastAsia" w:hAnsiTheme="minorEastAsia" w:cstheme="minorEastAsia"/>
                <w:color w:val="000000" w:themeColor="text1"/>
                <w:spacing w:val="-3"/>
                <w:kern w:val="0"/>
                <w:sz w:val="20"/>
                <w:szCs w:val="20"/>
                <w14:textFill>
                  <w14:solidFill>
                    <w14:schemeClr w14:val="tx1"/>
                  </w14:solidFill>
                </w14:textFill>
              </w:rPr>
              <w:t>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color w:val="000000"/>
                <w:kern w:val="0"/>
                <w:sz w:val="20"/>
                <w:szCs w:val="20"/>
              </w:rPr>
              <w:t>以下的建筑白蚁防治工程；</w:t>
            </w:r>
          </w:p>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kern w:val="0"/>
                <w:sz w:val="20"/>
                <w:szCs w:val="20"/>
              </w:rPr>
              <w:t>（2）</w:t>
            </w:r>
            <w:r>
              <w:rPr>
                <w:rFonts w:hint="eastAsia" w:asciiTheme="minorEastAsia" w:hAnsiTheme="minorEastAsia" w:cstheme="minorEastAsia"/>
                <w:color w:val="000000"/>
                <w:kern w:val="0"/>
                <w:sz w:val="20"/>
                <w:szCs w:val="20"/>
              </w:rPr>
              <w:t>单项建筑造价200万元以上，3000万元以下的建筑白蚁防治工程；</w:t>
            </w:r>
          </w:p>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kern w:val="0"/>
                <w:sz w:val="20"/>
                <w:szCs w:val="20"/>
              </w:rPr>
              <w:t>（3）</w:t>
            </w:r>
            <w:r>
              <w:rPr>
                <w:rFonts w:hint="eastAsia" w:asciiTheme="minorEastAsia" w:hAnsiTheme="minorEastAsia" w:cstheme="minorEastAsia"/>
                <w:color w:val="000000"/>
                <w:kern w:val="0"/>
                <w:sz w:val="20"/>
                <w:szCs w:val="20"/>
              </w:rPr>
              <w:t>灭治面积1000</w:t>
            </w:r>
            <w:r>
              <w:rPr>
                <w:rFonts w:hint="eastAsia" w:asciiTheme="minorEastAsia" w:hAnsiTheme="minorEastAsia" w:cstheme="minorEastAsia"/>
                <w:color w:val="000000" w:themeColor="text1"/>
                <w:spacing w:val="-3"/>
                <w:kern w:val="0"/>
                <w:sz w:val="20"/>
                <w:szCs w:val="20"/>
                <w14:textFill>
                  <w14:solidFill>
                    <w14:schemeClr w14:val="tx1"/>
                  </w14:solidFill>
                </w14:textFill>
              </w:rPr>
              <w:t xml:space="preserve"> 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color w:val="000000"/>
                <w:kern w:val="0"/>
                <w:sz w:val="20"/>
                <w:szCs w:val="20"/>
              </w:rPr>
              <w:t>以下的国家级重点文物保护单位的古建筑白蚁灭治工程；</w:t>
            </w:r>
          </w:p>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kern w:val="0"/>
                <w:sz w:val="20"/>
                <w:szCs w:val="20"/>
              </w:rPr>
              <w:t>（4）</w:t>
            </w:r>
            <w:r>
              <w:rPr>
                <w:rFonts w:hint="eastAsia" w:asciiTheme="minorEastAsia" w:hAnsiTheme="minorEastAsia" w:cstheme="minorEastAsia"/>
                <w:color w:val="000000"/>
                <w:kern w:val="0"/>
                <w:sz w:val="20"/>
                <w:szCs w:val="20"/>
              </w:rPr>
              <w:t>灭治面积2000</w:t>
            </w:r>
            <w:r>
              <w:rPr>
                <w:rFonts w:hint="eastAsia" w:asciiTheme="minorEastAsia" w:hAnsiTheme="minorEastAsia" w:cstheme="minorEastAsia"/>
                <w:color w:val="000000" w:themeColor="text1"/>
                <w:spacing w:val="-3"/>
                <w:kern w:val="0"/>
                <w:sz w:val="20"/>
                <w:szCs w:val="20"/>
                <w14:textFill>
                  <w14:solidFill>
                    <w14:schemeClr w14:val="tx1"/>
                  </w14:solidFill>
                </w14:textFill>
              </w:rPr>
              <w:t xml:space="preserve"> 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color w:val="000000"/>
                <w:kern w:val="0"/>
                <w:sz w:val="20"/>
                <w:szCs w:val="20"/>
              </w:rPr>
              <w:t>以下的省级重点文物保护单位的古建筑白蚁灭治工程；</w:t>
            </w:r>
          </w:p>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kern w:val="0"/>
                <w:sz w:val="20"/>
                <w:szCs w:val="20"/>
              </w:rPr>
              <w:t>（5）</w:t>
            </w:r>
            <w:r>
              <w:rPr>
                <w:rFonts w:hint="eastAsia" w:asciiTheme="minorEastAsia" w:hAnsiTheme="minorEastAsia" w:cstheme="minorEastAsia"/>
                <w:color w:val="000000"/>
                <w:kern w:val="0"/>
                <w:sz w:val="20"/>
                <w:szCs w:val="20"/>
              </w:rPr>
              <w:t>灭治面积4000</w:t>
            </w:r>
            <w:r>
              <w:rPr>
                <w:rFonts w:hint="eastAsia" w:asciiTheme="minorEastAsia" w:hAnsiTheme="minorEastAsia" w:cstheme="minorEastAsia"/>
                <w:color w:val="000000" w:themeColor="text1"/>
                <w:spacing w:val="-3"/>
                <w:kern w:val="0"/>
                <w:sz w:val="20"/>
                <w:szCs w:val="20"/>
                <w14:textFill>
                  <w14:solidFill>
                    <w14:schemeClr w14:val="tx1"/>
                  </w14:solidFill>
                </w14:textFill>
              </w:rPr>
              <w:t xml:space="preserve"> 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color w:val="000000"/>
                <w:kern w:val="0"/>
                <w:sz w:val="20"/>
                <w:szCs w:val="20"/>
              </w:rPr>
              <w:t>以下的市级重点文物保护单位的古建筑白蚁灭治工程；</w:t>
            </w:r>
          </w:p>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kern w:val="0"/>
                <w:sz w:val="20"/>
                <w:szCs w:val="20"/>
              </w:rPr>
              <w:t>（6）</w:t>
            </w:r>
            <w:r>
              <w:rPr>
                <w:rFonts w:hint="eastAsia" w:asciiTheme="minorEastAsia" w:hAnsiTheme="minorEastAsia" w:cstheme="minorEastAsia"/>
                <w:color w:val="000000"/>
                <w:kern w:val="0"/>
                <w:sz w:val="20"/>
                <w:szCs w:val="20"/>
              </w:rPr>
              <w:t>总库容100万m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以上，1000万m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以下的水库白蚁灭治工程；</w:t>
            </w:r>
          </w:p>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kern w:val="0"/>
                <w:sz w:val="20"/>
                <w:szCs w:val="20"/>
              </w:rPr>
              <w:t>（7）</w:t>
            </w:r>
            <w:r>
              <w:rPr>
                <w:rFonts w:hint="eastAsia" w:asciiTheme="minorEastAsia" w:hAnsiTheme="minorEastAsia" w:cstheme="minorEastAsia"/>
                <w:color w:val="000000"/>
                <w:kern w:val="0"/>
                <w:sz w:val="20"/>
                <w:szCs w:val="20"/>
              </w:rPr>
              <w:t>堤防加固总投资100万元以上，1000万元以下工程的白蚁防治工程；</w:t>
            </w:r>
          </w:p>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kern w:val="0"/>
                <w:sz w:val="20"/>
                <w:szCs w:val="20"/>
              </w:rPr>
              <w:t>（8）</w:t>
            </w:r>
            <w:r>
              <w:rPr>
                <w:rFonts w:hint="eastAsia" w:asciiTheme="minorEastAsia" w:hAnsiTheme="minorEastAsia" w:cstheme="minorEastAsia"/>
                <w:color w:val="000000"/>
                <w:kern w:val="0"/>
                <w:sz w:val="20"/>
                <w:szCs w:val="20"/>
              </w:rPr>
              <w:t>白蚁防治费用50万元以上，100万元以下的水利工程；</w:t>
            </w:r>
          </w:p>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kern w:val="0"/>
                <w:sz w:val="20"/>
                <w:szCs w:val="20"/>
              </w:rPr>
              <w:t>（9）</w:t>
            </w:r>
            <w:r>
              <w:rPr>
                <w:rFonts w:hint="eastAsia" w:asciiTheme="minorEastAsia" w:hAnsiTheme="minorEastAsia" w:cstheme="minorEastAsia"/>
                <w:color w:val="000000"/>
                <w:kern w:val="0"/>
                <w:sz w:val="20"/>
                <w:szCs w:val="20"/>
              </w:rPr>
              <w:t>占地面积10万</w:t>
            </w:r>
            <w:r>
              <w:rPr>
                <w:rFonts w:hint="eastAsia" w:asciiTheme="minorEastAsia" w:hAnsiTheme="minorEastAsia" w:cstheme="minorEastAsia"/>
                <w:color w:val="000000" w:themeColor="text1"/>
                <w:spacing w:val="-3"/>
                <w:kern w:val="0"/>
                <w:sz w:val="20"/>
                <w:szCs w:val="20"/>
                <w14:textFill>
                  <w14:solidFill>
                    <w14:schemeClr w14:val="tx1"/>
                  </w14:solidFill>
                </w14:textFill>
              </w:rPr>
              <w:t>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color w:val="000000"/>
                <w:kern w:val="0"/>
                <w:sz w:val="20"/>
                <w:szCs w:val="20"/>
              </w:rPr>
              <w:t>以上，30万</w:t>
            </w:r>
            <w:r>
              <w:rPr>
                <w:rFonts w:hint="eastAsia" w:asciiTheme="minorEastAsia" w:hAnsiTheme="minorEastAsia" w:cstheme="minorEastAsia"/>
                <w:color w:val="000000" w:themeColor="text1"/>
                <w:spacing w:val="-3"/>
                <w:kern w:val="0"/>
                <w:sz w:val="20"/>
                <w:szCs w:val="20"/>
                <w14:textFill>
                  <w14:solidFill>
                    <w14:schemeClr w14:val="tx1"/>
                  </w14:solidFill>
                </w14:textFill>
              </w:rPr>
              <w:t>m</w:t>
            </w:r>
            <w:r>
              <w:rPr>
                <w:rFonts w:hint="eastAsia" w:asciiTheme="minorEastAsia" w:hAnsiTheme="minorEastAsia" w:cstheme="minorEastAsia"/>
                <w:color w:val="000000" w:themeColor="text1"/>
                <w:spacing w:val="-3"/>
                <w:kern w:val="0"/>
                <w:sz w:val="20"/>
                <w:szCs w:val="20"/>
                <w:vertAlign w:val="superscript"/>
                <w14:textFill>
                  <w14:solidFill>
                    <w14:schemeClr w14:val="tx1"/>
                  </w14:solidFill>
                </w14:textFill>
              </w:rPr>
              <w:t>2</w:t>
            </w:r>
            <w:r>
              <w:rPr>
                <w:rFonts w:hint="eastAsia" w:asciiTheme="minorEastAsia" w:hAnsiTheme="minorEastAsia" w:cstheme="minorEastAsia"/>
                <w:color w:val="000000"/>
                <w:kern w:val="0"/>
                <w:sz w:val="20"/>
                <w:szCs w:val="20"/>
              </w:rPr>
              <w:t>以下的绿化白蚁灭治工程。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bl>
    <w:p>
      <w:pPr>
        <w:spacing w:line="220" w:lineRule="exact"/>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五、建筑防腐专业</w:t>
      </w:r>
    </w:p>
    <w:p>
      <w:pPr>
        <w:jc w:val="center"/>
        <w:outlineLvl w:val="0"/>
        <w:rPr>
          <w:rFonts w:ascii="方正黑体_GBK" w:hAnsi="方正黑体_GBK" w:eastAsia="方正黑体_GBK" w:cs="方正黑体_GBK"/>
          <w:sz w:val="28"/>
          <w:szCs w:val="28"/>
        </w:rPr>
      </w:pPr>
    </w:p>
    <w:tbl>
      <w:tblPr>
        <w:tblStyle w:val="5"/>
        <w:tblW w:w="10204" w:type="dxa"/>
        <w:jc w:val="center"/>
        <w:tblLayout w:type="fixed"/>
        <w:tblCellMar>
          <w:top w:w="113" w:type="dxa"/>
          <w:left w:w="57" w:type="dxa"/>
          <w:bottom w:w="57" w:type="dxa"/>
          <w:right w:w="57" w:type="dxa"/>
        </w:tblCellMar>
      </w:tblPr>
      <w:tblGrid>
        <w:gridCol w:w="567"/>
        <w:gridCol w:w="850"/>
        <w:gridCol w:w="850"/>
        <w:gridCol w:w="6803"/>
        <w:gridCol w:w="1134"/>
      </w:tblGrid>
      <w:tr>
        <w:tblPrEx>
          <w:tblCellMar>
            <w:top w:w="113" w:type="dxa"/>
            <w:left w:w="57" w:type="dxa"/>
            <w:bottom w:w="57" w:type="dxa"/>
            <w:right w:w="57" w:type="dxa"/>
          </w:tblCellMar>
        </w:tblPrEx>
        <w:trPr>
          <w:trHeight w:val="471" w:hRule="atLeast"/>
          <w:tblHeader/>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类型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规模</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参考标准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备注</w:t>
            </w:r>
          </w:p>
        </w:tc>
      </w:tr>
      <w:tr>
        <w:tblPrEx>
          <w:tblCellMar>
            <w:top w:w="113" w:type="dxa"/>
            <w:left w:w="57" w:type="dxa"/>
            <w:bottom w:w="57" w:type="dxa"/>
            <w:right w:w="57" w:type="dxa"/>
          </w:tblCellMar>
        </w:tblPrEx>
        <w:trPr>
          <w:trHeight w:val="567" w:hRule="atLeast"/>
          <w:jc w:val="center"/>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建筑</w:t>
            </w:r>
          </w:p>
          <w:p>
            <w:pPr>
              <w:widowControl/>
              <w:spacing w:line="30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防腐</w:t>
            </w:r>
          </w:p>
          <w:p>
            <w:pPr>
              <w:widowControl/>
              <w:spacing w:line="30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保温工程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kern w:val="0"/>
                <w:sz w:val="20"/>
                <w:szCs w:val="20"/>
              </w:rPr>
              <w:t>大型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kern w:val="0"/>
                <w:sz w:val="20"/>
                <w:szCs w:val="20"/>
              </w:rPr>
              <w:t>单项合同额500万元以上，且防腐蚀技术符合相关技术性要求的防腐保温工程。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567" w:hRule="atLeast"/>
          <w:jc w:val="center"/>
        </w:trPr>
        <w:tc>
          <w:tcPr>
            <w:tcW w:w="567"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单项合同额400万元以上，500万元以下，且防腐蚀技术符合相关技术性要求的防腐保温工程。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CellMar>
            <w:top w:w="113" w:type="dxa"/>
            <w:left w:w="57" w:type="dxa"/>
            <w:bottom w:w="57" w:type="dxa"/>
            <w:right w:w="57" w:type="dxa"/>
          </w:tblCellMar>
        </w:tblPrEx>
        <w:trPr>
          <w:trHeight w:val="567" w:hRule="atLeast"/>
          <w:jc w:val="center"/>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小型</w:t>
            </w:r>
          </w:p>
        </w:tc>
        <w:tc>
          <w:tcPr>
            <w:tcW w:w="6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单项合同额200万元以上，400万元以下，且防腐蚀技术符合相关技术性要求的防腐保温工程。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bl>
    <w:p>
      <w:pPr>
        <w:spacing w:line="2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Cs w:val="21"/>
        </w:rPr>
      </w:pPr>
      <w:r>
        <w:rPr>
          <w:rFonts w:hint="eastAsia" w:ascii="方正黑体_GBK" w:hAnsi="方正黑体_GBK" w:eastAsia="方正黑体_GBK" w:cs="方正黑体_GBK"/>
          <w:sz w:val="28"/>
          <w:szCs w:val="28"/>
        </w:rPr>
        <w:t>六、勘测——岩土工程专业</w:t>
      </w:r>
    </w:p>
    <w:tbl>
      <w:tblPr>
        <w:tblStyle w:val="5"/>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67"/>
        <w:gridCol w:w="850"/>
        <w:gridCol w:w="850"/>
        <w:gridCol w:w="6182"/>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atLeas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规模</w:t>
            </w:r>
          </w:p>
        </w:tc>
        <w:tc>
          <w:tcPr>
            <w:tcW w:w="6182"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参考标准</w:t>
            </w:r>
          </w:p>
        </w:tc>
        <w:tc>
          <w:tcPr>
            <w:tcW w:w="1755"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73"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color w:val="000000"/>
                <w:kern w:val="0"/>
                <w:sz w:val="20"/>
                <w:szCs w:val="20"/>
              </w:rPr>
              <w:t>房屋建筑工程勘察</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w:t>
            </w:r>
            <w:r>
              <w:rPr>
                <w:rFonts w:asciiTheme="minorEastAsia" w:hAnsiTheme="minorEastAsia" w:cstheme="minorEastAsia"/>
                <w:color w:val="000000"/>
                <w:kern w:val="0"/>
                <w:sz w:val="20"/>
                <w:szCs w:val="20"/>
              </w:rPr>
              <w:t>1）30层以上的高层建筑；</w:t>
            </w:r>
            <w:r>
              <w:rPr>
                <w:rFonts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（2）高度100m以上的高层建筑。</w:t>
            </w:r>
          </w:p>
        </w:tc>
        <w:tc>
          <w:tcPr>
            <w:tcW w:w="1755"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spacing w:val="-6"/>
                <w:kern w:val="0"/>
                <w:sz w:val="20"/>
                <w:szCs w:val="20"/>
                <w:highlight w:val="yellow"/>
              </w:rPr>
            </w:pPr>
          </w:p>
          <w:p>
            <w:pPr>
              <w:widowControl/>
              <w:spacing w:line="230" w:lineRule="exact"/>
              <w:jc w:val="center"/>
              <w:textAlignment w:val="center"/>
              <w:rPr>
                <w:rFonts w:asciiTheme="minorEastAsia" w:hAnsiTheme="minorEastAsia" w:cstheme="minorEastAsia"/>
                <w:color w:val="000000" w:themeColor="text1"/>
                <w:kern w:val="0"/>
                <w:sz w:val="20"/>
                <w:szCs w:val="20"/>
                <w:highlight w:val="yellow"/>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48"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7层以上，30层以下建筑。</w:t>
            </w:r>
          </w:p>
        </w:tc>
        <w:tc>
          <w:tcPr>
            <w:tcW w:w="1755"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highlight w:val="yellow"/>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42"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6层以下建筑。</w:t>
            </w:r>
          </w:p>
        </w:tc>
        <w:tc>
          <w:tcPr>
            <w:tcW w:w="1755"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highlight w:val="yellow"/>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2</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道路工程勘察</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快速路和主干路。</w:t>
            </w:r>
          </w:p>
        </w:tc>
        <w:tc>
          <w:tcPr>
            <w:tcW w:w="1755" w:type="dxa"/>
            <w:vMerge w:val="restart"/>
            <w:tcBorders>
              <w:tl2br w:val="nil"/>
              <w:tr2bl w:val="nil"/>
            </w:tcBorders>
            <w:shd w:val="clear" w:color="auto" w:fill="auto"/>
            <w:vAlign w:val="center"/>
          </w:tcPr>
          <w:p>
            <w:pPr>
              <w:widowControl/>
              <w:spacing w:line="23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次干路。</w:t>
            </w:r>
          </w:p>
        </w:tc>
        <w:tc>
          <w:tcPr>
            <w:tcW w:w="1755" w:type="dxa"/>
            <w:vMerge w:val="continue"/>
            <w:tcBorders>
              <w:tl2br w:val="nil"/>
              <w:tr2bl w:val="nil"/>
            </w:tcBorders>
            <w:shd w:val="clear" w:color="auto" w:fill="auto"/>
            <w:vAlign w:val="center"/>
          </w:tcPr>
          <w:p>
            <w:pPr>
              <w:widowControl/>
              <w:spacing w:line="23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支路、公交场站和城市广场。</w:t>
            </w:r>
          </w:p>
        </w:tc>
        <w:tc>
          <w:tcPr>
            <w:tcW w:w="1755" w:type="dxa"/>
            <w:vMerge w:val="continue"/>
            <w:tcBorders>
              <w:tl2br w:val="nil"/>
              <w:tr2bl w:val="nil"/>
            </w:tcBorders>
            <w:shd w:val="clear" w:color="auto" w:fill="auto"/>
            <w:vAlign w:val="center"/>
          </w:tcPr>
          <w:p>
            <w:pPr>
              <w:widowControl/>
              <w:spacing w:line="23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3</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桥涵工程勘察</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特大桥、大桥、大型立交桥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spacing w:val="-9"/>
                <w:kern w:val="0"/>
                <w:sz w:val="20"/>
                <w:szCs w:val="20"/>
              </w:rPr>
              <w:t>(单跨40m以上、总长100m以上的桥梁)。</w:t>
            </w:r>
          </w:p>
        </w:tc>
        <w:tc>
          <w:tcPr>
            <w:tcW w:w="1755" w:type="dxa"/>
            <w:vMerge w:val="restart"/>
            <w:tcBorders>
              <w:tl2br w:val="nil"/>
              <w:tr2bl w:val="nil"/>
            </w:tcBorders>
            <w:shd w:val="clear" w:color="auto" w:fill="auto"/>
            <w:vAlign w:val="center"/>
          </w:tcPr>
          <w:p>
            <w:pPr>
              <w:widowControl/>
              <w:spacing w:line="23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中桥、小型立交桥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spacing w:val="-9"/>
                <w:kern w:val="0"/>
                <w:sz w:val="20"/>
                <w:szCs w:val="20"/>
              </w:rPr>
              <w:t>(单跨40m以下、总长100m以下的桥梁)。</w:t>
            </w:r>
          </w:p>
        </w:tc>
        <w:tc>
          <w:tcPr>
            <w:tcW w:w="1755" w:type="dxa"/>
            <w:vMerge w:val="continue"/>
            <w:tcBorders>
              <w:tl2br w:val="nil"/>
              <w:tr2bl w:val="nil"/>
            </w:tcBorders>
            <w:shd w:val="clear" w:color="auto" w:fill="auto"/>
            <w:vAlign w:val="center"/>
          </w:tcPr>
          <w:p>
            <w:pPr>
              <w:widowControl/>
              <w:spacing w:line="23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小桥、涵洞及人行通道。</w:t>
            </w:r>
          </w:p>
        </w:tc>
        <w:tc>
          <w:tcPr>
            <w:tcW w:w="1755"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4</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隧道工程勘察</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城市隧道工程均属于大型项目。</w:t>
            </w:r>
          </w:p>
        </w:tc>
        <w:tc>
          <w:tcPr>
            <w:tcW w:w="1755" w:type="dxa"/>
            <w:tcBorders>
              <w:tl2br w:val="nil"/>
              <w:tr2bl w:val="nil"/>
            </w:tcBorders>
            <w:shd w:val="clear" w:color="auto" w:fill="auto"/>
            <w:vAlign w:val="center"/>
          </w:tcPr>
          <w:p>
            <w:pPr>
              <w:widowControl/>
              <w:spacing w:line="23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kern w:val="0"/>
                <w:sz w:val="20"/>
                <w:szCs w:val="20"/>
              </w:rPr>
              <w:t>5</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轨道交通工程勘察</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车站主体、地下区间、高架区间、地下停车场、控制中心、主变电站。</w:t>
            </w:r>
          </w:p>
        </w:tc>
        <w:tc>
          <w:tcPr>
            <w:tcW w:w="1755" w:type="dxa"/>
            <w:vMerge w:val="restart"/>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路基、涵洞、小桥、车辆基地、车站附属等。</w:t>
            </w:r>
          </w:p>
        </w:tc>
        <w:tc>
          <w:tcPr>
            <w:tcW w:w="1755"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182"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次要建筑物、地面停车场。</w:t>
            </w:r>
          </w:p>
        </w:tc>
        <w:tc>
          <w:tcPr>
            <w:tcW w:w="1755"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2"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6</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基坑工程勘察</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安全等级为一级的深基坑工程。</w:t>
            </w:r>
          </w:p>
        </w:tc>
        <w:tc>
          <w:tcPr>
            <w:tcW w:w="1755" w:type="dxa"/>
            <w:tcBorders>
              <w:tl2br w:val="nil"/>
              <w:tr2bl w:val="nil"/>
            </w:tcBorders>
            <w:shd w:val="clear" w:color="auto" w:fill="auto"/>
            <w:vAlign w:val="center"/>
          </w:tcPr>
          <w:p>
            <w:pPr>
              <w:widowControl/>
              <w:spacing w:line="236" w:lineRule="exact"/>
              <w:jc w:val="center"/>
              <w:textAlignment w:val="center"/>
              <w:rPr>
                <w:rFonts w:asciiTheme="minorEastAsia" w:hAnsiTheme="minorEastAsia" w:cstheme="minorEastAsia"/>
                <w:color w:val="000000" w:themeColor="text1"/>
                <w:sz w:val="20"/>
                <w:szCs w:val="20"/>
                <w:highlight w:val="yellow"/>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75"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安全等级为二级的基坑工程。</w:t>
            </w:r>
          </w:p>
        </w:tc>
        <w:tc>
          <w:tcPr>
            <w:tcW w:w="1755" w:type="dxa"/>
            <w:tcBorders>
              <w:tl2br w:val="nil"/>
              <w:tr2bl w:val="nil"/>
            </w:tcBorders>
            <w:shd w:val="clear" w:color="auto" w:fill="auto"/>
            <w:vAlign w:val="center"/>
          </w:tcPr>
          <w:p>
            <w:pPr>
              <w:widowControl/>
              <w:spacing w:line="236" w:lineRule="exact"/>
              <w:jc w:val="center"/>
              <w:textAlignment w:val="center"/>
              <w:rPr>
                <w:rFonts w:asciiTheme="minorEastAsia" w:hAnsiTheme="minorEastAsia" w:cstheme="minorEastAsia"/>
                <w:color w:val="000000" w:themeColor="text1"/>
                <w:sz w:val="20"/>
                <w:szCs w:val="20"/>
                <w:highlight w:val="yellow"/>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安全等级为三级的基坑工程。</w:t>
            </w:r>
          </w:p>
        </w:tc>
        <w:tc>
          <w:tcPr>
            <w:tcW w:w="1755" w:type="dxa"/>
            <w:tcBorders>
              <w:tl2br w:val="nil"/>
              <w:tr2bl w:val="nil"/>
            </w:tcBorders>
            <w:shd w:val="clear" w:color="auto" w:fill="auto"/>
            <w:vAlign w:val="center"/>
          </w:tcPr>
          <w:p>
            <w:pPr>
              <w:widowControl/>
              <w:spacing w:line="236" w:lineRule="exact"/>
              <w:jc w:val="center"/>
              <w:textAlignment w:val="center"/>
              <w:rPr>
                <w:rFonts w:asciiTheme="minorEastAsia" w:hAnsiTheme="minorEastAsia" w:cstheme="minorEastAsia"/>
                <w:color w:val="000000" w:themeColor="text1"/>
                <w:sz w:val="20"/>
                <w:szCs w:val="20"/>
                <w:highlight w:val="yellow"/>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7</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边坡工程勘察</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spacing w:val="-6"/>
                <w:kern w:val="0"/>
                <w:sz w:val="20"/>
                <w:szCs w:val="20"/>
              </w:rPr>
              <w:t>房屋建筑和市政工程中高度15m以上的岩质边坡和高度10m以上的土质边坡。</w:t>
            </w:r>
          </w:p>
        </w:tc>
        <w:tc>
          <w:tcPr>
            <w:tcW w:w="1755" w:type="dxa"/>
            <w:tcBorders>
              <w:tl2br w:val="nil"/>
              <w:tr2bl w:val="nil"/>
            </w:tcBorders>
            <w:shd w:val="clear" w:color="auto" w:fill="auto"/>
            <w:vAlign w:val="center"/>
          </w:tcPr>
          <w:p>
            <w:pPr>
              <w:widowControl/>
              <w:spacing w:line="236"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其他工程中为高度</w:t>
            </w:r>
            <w:r>
              <w:rPr>
                <w:rFonts w:asciiTheme="minorEastAsia" w:hAnsiTheme="minorEastAsia" w:cstheme="minorEastAsia"/>
                <w:color w:val="000000"/>
                <w:kern w:val="0"/>
                <w:sz w:val="20"/>
                <w:szCs w:val="20"/>
              </w:rPr>
              <w:t>30m</w:t>
            </w:r>
            <w:r>
              <w:rPr>
                <w:rFonts w:hint="eastAsia" w:asciiTheme="minorEastAsia" w:hAnsiTheme="minorEastAsia" w:cstheme="minorEastAsia"/>
                <w:color w:val="000000"/>
                <w:kern w:val="0"/>
                <w:sz w:val="20"/>
                <w:szCs w:val="20"/>
              </w:rPr>
              <w:t>以上的岩质边坡、高度</w:t>
            </w:r>
            <w:r>
              <w:rPr>
                <w:rFonts w:asciiTheme="minorEastAsia" w:hAnsiTheme="minorEastAsia" w:cstheme="minorEastAsia"/>
                <w:color w:val="000000"/>
                <w:kern w:val="0"/>
                <w:sz w:val="20"/>
                <w:szCs w:val="20"/>
              </w:rPr>
              <w:t>15m</w:t>
            </w:r>
            <w:r>
              <w:rPr>
                <w:rFonts w:hint="eastAsia" w:asciiTheme="minorEastAsia" w:hAnsiTheme="minorEastAsia" w:cstheme="minorEastAsia"/>
                <w:color w:val="000000"/>
                <w:kern w:val="0"/>
                <w:sz w:val="20"/>
                <w:szCs w:val="20"/>
              </w:rPr>
              <w:t>以上的土质边坡。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spacing w:val="-6"/>
                <w:kern w:val="0"/>
                <w:sz w:val="20"/>
                <w:szCs w:val="20"/>
              </w:rPr>
              <w:t>房屋建筑和市政工程中高度15m以下的岩质边坡和高度10m以下的土质边坡。</w:t>
            </w:r>
          </w:p>
        </w:tc>
        <w:tc>
          <w:tcPr>
            <w:tcW w:w="1755" w:type="dxa"/>
            <w:tcBorders>
              <w:tl2br w:val="nil"/>
              <w:tr2bl w:val="nil"/>
            </w:tcBorders>
            <w:shd w:val="clear" w:color="auto" w:fill="auto"/>
            <w:vAlign w:val="center"/>
          </w:tcPr>
          <w:p>
            <w:pPr>
              <w:widowControl/>
              <w:spacing w:line="236"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其他工程中为高度</w:t>
            </w:r>
            <w:r>
              <w:rPr>
                <w:rFonts w:asciiTheme="minorEastAsia" w:hAnsiTheme="minorEastAsia" w:cstheme="minorEastAsia"/>
                <w:color w:val="000000"/>
                <w:kern w:val="0"/>
                <w:sz w:val="20"/>
                <w:szCs w:val="20"/>
              </w:rPr>
              <w:t>15m</w:t>
            </w:r>
            <w:r>
              <w:rPr>
                <w:rFonts w:hint="eastAsia" w:asciiTheme="minorEastAsia" w:hAnsiTheme="minorEastAsia" w:cstheme="minorEastAsia"/>
                <w:color w:val="000000"/>
                <w:kern w:val="0"/>
                <w:sz w:val="20"/>
                <w:szCs w:val="20"/>
              </w:rPr>
              <w:t>以下的岩质边坡、高度</w:t>
            </w:r>
            <w:r>
              <w:rPr>
                <w:rFonts w:asciiTheme="minorEastAsia" w:hAnsiTheme="minorEastAsia" w:cstheme="minorEastAsia"/>
                <w:color w:val="000000"/>
                <w:kern w:val="0"/>
                <w:sz w:val="20"/>
                <w:szCs w:val="20"/>
              </w:rPr>
              <w:t>10m</w:t>
            </w:r>
            <w:r>
              <w:rPr>
                <w:rFonts w:hint="eastAsia" w:asciiTheme="minorEastAsia" w:hAnsiTheme="minorEastAsia" w:cstheme="minorEastAsia"/>
                <w:color w:val="000000"/>
                <w:kern w:val="0"/>
                <w:sz w:val="20"/>
                <w:szCs w:val="20"/>
              </w:rPr>
              <w:t>以下的土质边坡。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8</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地下工程勘察</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地下空间总建筑面积1万㎡以上。</w:t>
            </w:r>
          </w:p>
        </w:tc>
        <w:tc>
          <w:tcPr>
            <w:tcW w:w="1755"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地下空间总建筑面积1万㎡以下。</w:t>
            </w:r>
          </w:p>
        </w:tc>
        <w:tc>
          <w:tcPr>
            <w:tcW w:w="1755"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9</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其他工程勘察</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设计规模为特大型、大型的建设项目。</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设计规模为中型的建设项目。</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设计规模为小型的建设项目。</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10</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基坑工程设计</w:t>
            </w:r>
          </w:p>
        </w:tc>
        <w:tc>
          <w:tcPr>
            <w:tcW w:w="850"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安全等级为一、二级的基坑工程。</w:t>
            </w:r>
          </w:p>
        </w:tc>
        <w:tc>
          <w:tcPr>
            <w:tcW w:w="1755" w:type="dxa"/>
            <w:tcBorders>
              <w:tl2br w:val="nil"/>
              <w:tr2bl w:val="nil"/>
            </w:tcBorders>
            <w:shd w:val="clear" w:color="auto" w:fill="auto"/>
            <w:vAlign w:val="center"/>
          </w:tcPr>
          <w:p>
            <w:pPr>
              <w:widowControl/>
              <w:spacing w:line="236" w:lineRule="exact"/>
              <w:jc w:val="center"/>
              <w:textAlignment w:val="center"/>
              <w:rPr>
                <w:rFonts w:asciiTheme="minorEastAsia" w:hAnsiTheme="minorEastAsia" w:cstheme="minorEastAsia"/>
                <w:color w:val="000000"/>
                <w:kern w:val="0"/>
                <w:sz w:val="20"/>
                <w:szCs w:val="20"/>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安全等级为三级的基坑工程。</w:t>
            </w:r>
          </w:p>
        </w:tc>
        <w:tc>
          <w:tcPr>
            <w:tcW w:w="1755" w:type="dxa"/>
            <w:tcBorders>
              <w:tl2br w:val="nil"/>
              <w:tr2bl w:val="nil"/>
            </w:tcBorders>
            <w:shd w:val="clear" w:color="auto" w:fill="auto"/>
            <w:vAlign w:val="center"/>
          </w:tcPr>
          <w:p>
            <w:pPr>
              <w:widowControl/>
              <w:spacing w:line="236" w:lineRule="exact"/>
              <w:jc w:val="center"/>
              <w:textAlignment w:val="center"/>
              <w:rPr>
                <w:rFonts w:asciiTheme="minorEastAsia" w:hAnsiTheme="minorEastAsia" w:cstheme="minorEastAsia"/>
                <w:color w:val="000000"/>
                <w:kern w:val="0"/>
                <w:sz w:val="20"/>
                <w:szCs w:val="20"/>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11</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边坡工程设计</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9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安全等级为一级的边坡工程</w:t>
            </w:r>
          </w:p>
          <w:p>
            <w:pPr>
              <w:widowControl/>
              <w:spacing w:line="29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(高度15m以上的岩质边坡和高度10m以上的土质边坡)。</w:t>
            </w:r>
          </w:p>
        </w:tc>
        <w:tc>
          <w:tcPr>
            <w:tcW w:w="1755" w:type="dxa"/>
            <w:tcBorders>
              <w:tl2br w:val="nil"/>
              <w:tr2bl w:val="nil"/>
            </w:tcBorders>
            <w:shd w:val="clear" w:color="auto" w:fill="auto"/>
            <w:vAlign w:val="center"/>
          </w:tcPr>
          <w:p>
            <w:pPr>
              <w:widowControl/>
              <w:spacing w:line="29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其他工程中为高度</w:t>
            </w:r>
            <w:r>
              <w:rPr>
                <w:rFonts w:asciiTheme="minorEastAsia" w:hAnsiTheme="minorEastAsia" w:cstheme="minorEastAsia"/>
                <w:color w:val="000000"/>
                <w:kern w:val="0"/>
                <w:sz w:val="20"/>
                <w:szCs w:val="20"/>
              </w:rPr>
              <w:t>30m</w:t>
            </w:r>
            <w:r>
              <w:rPr>
                <w:rFonts w:hint="eastAsia" w:asciiTheme="minorEastAsia" w:hAnsiTheme="minorEastAsia" w:cstheme="minorEastAsia"/>
                <w:color w:val="000000"/>
                <w:kern w:val="0"/>
                <w:sz w:val="20"/>
                <w:szCs w:val="20"/>
              </w:rPr>
              <w:t>以上的岩质边坡、高度</w:t>
            </w:r>
            <w:r>
              <w:rPr>
                <w:rFonts w:asciiTheme="minorEastAsia" w:hAnsiTheme="minorEastAsia" w:cstheme="minorEastAsia"/>
                <w:color w:val="000000"/>
                <w:kern w:val="0"/>
                <w:sz w:val="20"/>
                <w:szCs w:val="20"/>
              </w:rPr>
              <w:t>15m</w:t>
            </w:r>
            <w:r>
              <w:rPr>
                <w:rFonts w:hint="eastAsia" w:asciiTheme="minorEastAsia" w:hAnsiTheme="minorEastAsia" w:cstheme="minorEastAsia"/>
                <w:color w:val="000000"/>
                <w:kern w:val="0"/>
                <w:sz w:val="20"/>
                <w:szCs w:val="20"/>
              </w:rPr>
              <w:t>以上的土质边坡。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9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安全等级为一级的边坡工程</w:t>
            </w:r>
          </w:p>
          <w:p>
            <w:pPr>
              <w:widowControl/>
              <w:spacing w:line="29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(高度15m以下的岩质边坡和高度10m以下的土质边坡)。</w:t>
            </w:r>
          </w:p>
        </w:tc>
        <w:tc>
          <w:tcPr>
            <w:tcW w:w="1755" w:type="dxa"/>
            <w:tcBorders>
              <w:tl2br w:val="nil"/>
              <w:tr2bl w:val="nil"/>
            </w:tcBorders>
            <w:shd w:val="clear" w:color="auto" w:fill="auto"/>
            <w:vAlign w:val="center"/>
          </w:tcPr>
          <w:p>
            <w:pPr>
              <w:widowControl/>
              <w:spacing w:line="29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其他工程中为高度</w:t>
            </w:r>
            <w:r>
              <w:rPr>
                <w:rFonts w:asciiTheme="minorEastAsia" w:hAnsiTheme="minorEastAsia" w:cstheme="minorEastAsia"/>
                <w:color w:val="000000"/>
                <w:kern w:val="0"/>
                <w:sz w:val="20"/>
                <w:szCs w:val="20"/>
              </w:rPr>
              <w:t>15m</w:t>
            </w:r>
            <w:r>
              <w:rPr>
                <w:rFonts w:hint="eastAsia" w:asciiTheme="minorEastAsia" w:hAnsiTheme="minorEastAsia" w:cstheme="minorEastAsia"/>
                <w:color w:val="000000"/>
                <w:kern w:val="0"/>
                <w:sz w:val="20"/>
                <w:szCs w:val="20"/>
              </w:rPr>
              <w:t>以下的岩质边坡、高度</w:t>
            </w:r>
            <w:r>
              <w:rPr>
                <w:rFonts w:asciiTheme="minorEastAsia" w:hAnsiTheme="minorEastAsia" w:cstheme="minorEastAsia"/>
                <w:color w:val="000000"/>
                <w:kern w:val="0"/>
                <w:sz w:val="20"/>
                <w:szCs w:val="20"/>
              </w:rPr>
              <w:t>10m</w:t>
            </w:r>
            <w:r>
              <w:rPr>
                <w:rFonts w:hint="eastAsia" w:asciiTheme="minorEastAsia" w:hAnsiTheme="minorEastAsia" w:cstheme="minorEastAsia"/>
                <w:color w:val="000000"/>
                <w:kern w:val="0"/>
                <w:sz w:val="20"/>
                <w:szCs w:val="20"/>
              </w:rPr>
              <w:t>以下的土质边坡。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12</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地基处理设计</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9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一般土层处理后地基承载力达到300kPa以上的地基处理设计，特殊性岩土作为中型及以上建筑物的地基持力层的地基处理设计。</w:t>
            </w:r>
          </w:p>
        </w:tc>
        <w:tc>
          <w:tcPr>
            <w:tcW w:w="1755"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9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一般土层处理后地基承载力300kPa以下的地基处理设计，特殊性岩土作为小型建筑物地基持力层的地基处理设计。</w:t>
            </w:r>
          </w:p>
        </w:tc>
        <w:tc>
          <w:tcPr>
            <w:tcW w:w="1755"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13</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其他工程设计</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9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不良地质作用和地质灾害的治理设计；中等以上或复杂工程项目的岩土工程设计；建(构)筑物纠偏设计及基础托换设计，建(构)筑物沉降控制设计；填海工程的岩土工程设计；其他勘察等级为甲、乙级工程的岩土工程设计。</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31"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9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简单工程项目的岩土工程设计；其他勘察等级为丙级工程的岩土工程设计。</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14</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工程物探</w:t>
            </w:r>
            <w:r>
              <w:rPr>
                <w:rFonts w:hint="eastAsia" w:asciiTheme="minorEastAsia" w:hAnsiTheme="minorEastAsia" w:cstheme="minorEastAsia"/>
                <w:color w:val="000000"/>
                <w:spacing w:val="-17"/>
                <w:kern w:val="0"/>
                <w:sz w:val="20"/>
                <w:szCs w:val="20"/>
              </w:rPr>
              <w:t>测试、</w:t>
            </w:r>
            <w:r>
              <w:rPr>
                <w:rFonts w:hint="eastAsia" w:asciiTheme="minorEastAsia" w:hAnsiTheme="minorEastAsia" w:cstheme="minorEastAsia"/>
                <w:color w:val="000000"/>
                <w:kern w:val="0"/>
                <w:sz w:val="20"/>
                <w:szCs w:val="20"/>
              </w:rPr>
              <w:t>检测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48"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大型跨江、跨海桥梁桥址的工程物探，桥桩基测试、检测，岩溶地区、水域工程物探，复杂地质和地形条件下探查地下目的物的深度和精度要求较高的工程物探。</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15</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大型工程测试</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48"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地铁、轻轨、隧道工程的岩土工程物探、测试、检测、监测。</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16</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基坑及边坡工程监测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48"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安全等级为一级的基坑工程、边坡工程的监测。</w:t>
            </w:r>
          </w:p>
        </w:tc>
        <w:tc>
          <w:tcPr>
            <w:tcW w:w="1755"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48"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安全等级为二、三级的基坑工程、边坡工程的监测。</w:t>
            </w:r>
          </w:p>
        </w:tc>
        <w:tc>
          <w:tcPr>
            <w:tcW w:w="1755"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17</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地基处理及桩基检测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48"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一般土层处理后，地基承载力达到300kPa以上的地基处理监测，单桩最大加载在10000kN以上的桩基检测。</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48"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一般土层处理后，地基承载力300kPa以下的地基处理检测，单桩最大加载在10000kN以下的桩基检测。</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18</w:t>
            </w:r>
          </w:p>
        </w:tc>
        <w:tc>
          <w:tcPr>
            <w:tcW w:w="850" w:type="dxa"/>
            <w:vMerge w:val="restart"/>
            <w:tcBorders>
              <w:tl2br w:val="nil"/>
              <w:tr2bl w:val="nil"/>
            </w:tcBorders>
            <w:shd w:val="clear" w:color="auto" w:fill="auto"/>
            <w:vAlign w:val="center"/>
          </w:tcPr>
          <w:p>
            <w:pPr>
              <w:widowControl/>
              <w:spacing w:line="30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其他测试</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182" w:type="dxa"/>
            <w:tcBorders>
              <w:tl2br w:val="nil"/>
              <w:tr2bl w:val="nil"/>
            </w:tcBorders>
            <w:shd w:val="clear" w:color="auto" w:fill="auto"/>
            <w:vAlign w:val="center"/>
          </w:tcPr>
          <w:p>
            <w:pPr>
              <w:widowControl/>
              <w:spacing w:line="248"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建筑物纠偏、加固工程中的岩土工程监测，重特大抢险工程的岩土工程监测；按《岩土工程勘察规范》（GB 50021）岩土工程勘察等级为甲级的工程项目涉及的波速测试、地脉动测试；块体基础振动测试。</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850"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182" w:type="dxa"/>
            <w:tcBorders>
              <w:tl2br w:val="nil"/>
              <w:tr2bl w:val="nil"/>
            </w:tcBorders>
            <w:shd w:val="clear" w:color="auto" w:fill="auto"/>
            <w:vAlign w:val="center"/>
          </w:tcPr>
          <w:p>
            <w:pPr>
              <w:widowControl/>
              <w:spacing w:line="248"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按《岩土工程勘察规范》（GB 50021）岩土工程勘察等级为乙级及以下的工程项目涉及的波速测试、地脉动测试。</w:t>
            </w:r>
          </w:p>
        </w:tc>
        <w:tc>
          <w:tcPr>
            <w:tcW w:w="1755"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r>
    </w:tbl>
    <w:p>
      <w:pPr>
        <w:spacing w:line="160" w:lineRule="exact"/>
        <w:jc w:val="center"/>
        <w:rPr>
          <w:rFonts w:ascii="方正楷体_GBK" w:hAnsi="方正楷体_GBK" w:eastAsia="方正楷体_GBK" w:cs="方正楷体_GBK"/>
          <w:sz w:val="20"/>
          <w:szCs w:val="20"/>
        </w:rPr>
      </w:pPr>
    </w:p>
    <w:p>
      <w:pPr>
        <w:spacing w:line="1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七、勘测——工程测量专业</w:t>
      </w:r>
    </w:p>
    <w:tbl>
      <w:tblPr>
        <w:tblStyle w:val="5"/>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67"/>
        <w:gridCol w:w="850"/>
        <w:gridCol w:w="850"/>
        <w:gridCol w:w="680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规模</w:t>
            </w:r>
          </w:p>
        </w:tc>
        <w:tc>
          <w:tcPr>
            <w:tcW w:w="68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参考标准</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FFFFFF"/>
            <w:vAlign w:val="center"/>
          </w:tcPr>
          <w:p>
            <w:pPr>
              <w:widowControl/>
              <w:spacing w:line="22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color w:val="000000"/>
                <w:kern w:val="0"/>
                <w:sz w:val="20"/>
                <w:szCs w:val="20"/>
              </w:rPr>
              <w:t>控制测量</w:t>
            </w:r>
          </w:p>
        </w:tc>
        <w:tc>
          <w:tcPr>
            <w:tcW w:w="850" w:type="dxa"/>
            <w:tcBorders>
              <w:tl2br w:val="nil"/>
              <w:tr2bl w:val="nil"/>
            </w:tcBorders>
            <w:shd w:val="clear" w:color="auto" w:fill="FFFFFF"/>
            <w:vAlign w:val="center"/>
          </w:tcPr>
          <w:p>
            <w:pPr>
              <w:widowControl/>
              <w:spacing w:line="22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FFFFFF"/>
            <w:vAlign w:val="center"/>
          </w:tcPr>
          <w:p>
            <w:pPr>
              <w:widowControl/>
              <w:spacing w:line="220" w:lineRule="exact"/>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kern w:val="0"/>
                <w:sz w:val="20"/>
                <w:szCs w:val="20"/>
              </w:rPr>
              <w:t>三等以上GNSS控制测量，四等及以上导线测量，二等及以上水准测量。</w:t>
            </w:r>
          </w:p>
        </w:tc>
        <w:tc>
          <w:tcPr>
            <w:tcW w:w="1134" w:type="dxa"/>
            <w:vMerge w:val="restart"/>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FFFFFF"/>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FFFFFF"/>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FFFFFF"/>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四等GNSS控制测量，一、二级导线测量，三、四等水准测量。</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FFFFFF"/>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FFFFFF"/>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FFFFFF"/>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一级、二级GNSS控制测量，三级导线测量，五等水准测量。</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2</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规划测量</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大、中城市规划定测量线、拨地。</w:t>
            </w:r>
          </w:p>
        </w:tc>
        <w:tc>
          <w:tcPr>
            <w:tcW w:w="1134" w:type="dxa"/>
            <w:vMerge w:val="restart"/>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小城镇规划定测量线、拨地。</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3</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地形测量</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20km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以上的大比例尺地形图地形测量。</w:t>
            </w:r>
          </w:p>
        </w:tc>
        <w:tc>
          <w:tcPr>
            <w:tcW w:w="1134" w:type="dxa"/>
            <w:vMerge w:val="restart"/>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10km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以上、20km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以下大比例尺地形图地形测量。</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10km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以下大比例尺地形图地形测量。</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4</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精密工程测量</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国家大型、重点、特殊项目精密工程测量。</w:t>
            </w:r>
          </w:p>
        </w:tc>
        <w:tc>
          <w:tcPr>
            <w:tcW w:w="1134" w:type="dxa"/>
            <w:vMerge w:val="restart"/>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一般工程的精密工程测量。</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5</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线路工程测量</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20km以上的线路工程测量。</w:t>
            </w:r>
          </w:p>
        </w:tc>
        <w:tc>
          <w:tcPr>
            <w:tcW w:w="1134" w:type="dxa"/>
            <w:vMerge w:val="restart"/>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5km以上、20km以下的线路工程测量。</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5km以下线路工程测量。</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6</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地下管线测量</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总长度20km以上综合地下管线测量。</w:t>
            </w:r>
          </w:p>
        </w:tc>
        <w:tc>
          <w:tcPr>
            <w:tcW w:w="1134" w:type="dxa"/>
            <w:vMerge w:val="restart"/>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总长度20km以下综合地下管线测量。</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69" w:hRule="atLeast"/>
          <w:jc w:val="center"/>
        </w:trPr>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长度不超过5km的单一地下管线测量。</w:t>
            </w:r>
          </w:p>
        </w:tc>
        <w:tc>
          <w:tcPr>
            <w:tcW w:w="1134" w:type="dxa"/>
            <w:vMerge w:val="continue"/>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7</w:t>
            </w:r>
          </w:p>
        </w:tc>
        <w:tc>
          <w:tcPr>
            <w:tcW w:w="850" w:type="dxa"/>
            <w:vMerge w:val="restart"/>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变形与形变测量</w:t>
            </w:r>
          </w:p>
        </w:tc>
        <w:tc>
          <w:tcPr>
            <w:tcW w:w="850" w:type="dxa"/>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地基基础设计等级为甲级的建筑变形监测，重要古建筑变形监测，大型市政桥梁变形监测，重要管线变形监测，场地滑坡变形监测。</w:t>
            </w:r>
          </w:p>
        </w:tc>
        <w:tc>
          <w:tcPr>
            <w:tcW w:w="1134"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地基基础设计等级为乙、丙级的建筑变形监测，地表、道路沉降监测，中小型市政桥梁变形监测，一般管线变形监测。</w:t>
            </w:r>
          </w:p>
        </w:tc>
        <w:tc>
          <w:tcPr>
            <w:tcW w:w="1134"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8</w:t>
            </w:r>
          </w:p>
        </w:tc>
        <w:tc>
          <w:tcPr>
            <w:tcW w:w="850" w:type="dxa"/>
            <w:vMerge w:val="restart"/>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其他测量</w:t>
            </w:r>
          </w:p>
        </w:tc>
        <w:tc>
          <w:tcPr>
            <w:tcW w:w="850" w:type="dxa"/>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1、国家重点项目的首级控制测量、变形与形变及监测；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2、地铁、轻轨隧道工程测量。</w:t>
            </w:r>
          </w:p>
        </w:tc>
        <w:tc>
          <w:tcPr>
            <w:tcW w:w="1134"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不动产面积测量单体建筑3万m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w:t>
            </w:r>
          </w:p>
        </w:tc>
        <w:tc>
          <w:tcPr>
            <w:tcW w:w="1134"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1、其它小型工程或面积较小的施工放样等；</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2、不动产面积测量单体建筑3万m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w:t>
            </w:r>
          </w:p>
        </w:tc>
        <w:tc>
          <w:tcPr>
            <w:tcW w:w="1134" w:type="dxa"/>
            <w:tcBorders>
              <w:tl2br w:val="nil"/>
              <w:tr2bl w:val="nil"/>
            </w:tcBorders>
            <w:shd w:val="clear" w:color="auto" w:fill="auto"/>
            <w:vAlign w:val="center"/>
          </w:tcPr>
          <w:p>
            <w:pPr>
              <w:widowControl/>
              <w:spacing w:line="23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bl>
    <w:p>
      <w:pPr>
        <w:spacing w:line="220" w:lineRule="exact"/>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八、勘测——水文地质勘察专业</w:t>
      </w:r>
    </w:p>
    <w:tbl>
      <w:tblPr>
        <w:tblStyle w:val="5"/>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67"/>
        <w:gridCol w:w="850"/>
        <w:gridCol w:w="850"/>
        <w:gridCol w:w="6607"/>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kern w:val="0"/>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规模</w:t>
            </w:r>
          </w:p>
        </w:tc>
        <w:tc>
          <w:tcPr>
            <w:tcW w:w="660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参考标准</w:t>
            </w:r>
          </w:p>
        </w:tc>
        <w:tc>
          <w:tcPr>
            <w:tcW w:w="133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themeColor="text1"/>
                <w:kern w:val="0"/>
                <w:sz w:val="20"/>
                <w:szCs w:val="20"/>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color w:val="000000"/>
                <w:kern w:val="0"/>
                <w:sz w:val="20"/>
                <w:szCs w:val="20"/>
              </w:rPr>
              <w:t>规划和选址</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kern w:val="0"/>
                <w:sz w:val="20"/>
                <w:szCs w:val="20"/>
              </w:rPr>
              <w:t>大型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kern w:val="0"/>
                <w:sz w:val="20"/>
                <w:szCs w:val="20"/>
              </w:rPr>
              <w:t>大、中城市规划和大型企业选址的供水水源可行性研究及水资源评价。</w:t>
            </w:r>
          </w:p>
        </w:tc>
        <w:tc>
          <w:tcPr>
            <w:tcW w:w="1330" w:type="dxa"/>
            <w:vMerge w:val="restart"/>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小城市规划和中、小型企业选址的供水水源可行性研究及水资源评价。</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2</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供水量</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供水量10000m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/d以上的水源勘察和评价。</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供水量2000m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/d以上、10000m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/d以下的水源勘察及评价。</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水文地质条件简单，供水量2000m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/d以下的水源勘察和评价。</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3</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水文地质条件</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水文地质条件复杂的水资源勘察和评价。</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水文地质条件中等复杂的水资源勘察和评价。</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4</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设计规模</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设计规模为大型的建设项目水文地质勘察。</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设计规模为中型的建设项目水文地质勘察。</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设计规模为小型的建设项目的水文地质勘察。</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5</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地下水控制</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复杂的降水工程，或同等复杂的止水工程。</w:t>
            </w:r>
          </w:p>
        </w:tc>
        <w:tc>
          <w:tcPr>
            <w:tcW w:w="1330" w:type="dxa"/>
            <w:vMerge w:val="continue"/>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中等及以下的降水工程，或同等复杂的止水工程。</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37" w:hRule="atLeast"/>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6</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其他</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607"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p>
          <w:p>
            <w:pPr>
              <w:widowControl/>
              <w:spacing w:line="26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（1）国家重点项目、国外投资或中外合资项目的水源勘察和评价；</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w:t>
            </w:r>
            <w:r>
              <w:rPr>
                <w:rFonts w:hint="eastAsia" w:asciiTheme="minorEastAsia" w:hAnsiTheme="minorEastAsia" w:cstheme="minorEastAsia"/>
                <w:color w:val="000000"/>
                <w:spacing w:val="-9"/>
                <w:kern w:val="0"/>
                <w:sz w:val="20"/>
                <w:szCs w:val="20"/>
              </w:rPr>
              <w:t>干旱地区、贫水地区、未开发地区水资源评价。</w:t>
            </w:r>
          </w:p>
        </w:tc>
        <w:tc>
          <w:tcPr>
            <w:tcW w:w="1330"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bl>
    <w:p>
      <w:pPr>
        <w:spacing w:line="2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九、城市园林专业</w:t>
      </w:r>
    </w:p>
    <w:tbl>
      <w:tblPr>
        <w:tblStyle w:val="5"/>
        <w:tblW w:w="100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850"/>
        <w:gridCol w:w="850"/>
        <w:gridCol w:w="6323"/>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exac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规模</w:t>
            </w:r>
          </w:p>
        </w:tc>
        <w:tc>
          <w:tcPr>
            <w:tcW w:w="632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参考标准</w:t>
            </w:r>
          </w:p>
        </w:tc>
        <w:tc>
          <w:tcPr>
            <w:tcW w:w="1418"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50"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综合性</w:t>
            </w:r>
          </w:p>
          <w:p>
            <w:pPr>
              <w:widowControl/>
              <w:spacing w:line="22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color w:val="000000"/>
                <w:kern w:val="0"/>
                <w:sz w:val="20"/>
                <w:szCs w:val="20"/>
              </w:rPr>
              <w:t>工程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kern w:val="0"/>
                <w:sz w:val="20"/>
                <w:szCs w:val="20"/>
              </w:rPr>
              <w:t>大型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themeColor="text1"/>
                <w:kern w:val="0"/>
                <w:sz w:val="20"/>
                <w:szCs w:val="20"/>
                <w14:textFill>
                  <w14:solidFill>
                    <w14:schemeClr w14:val="tx1"/>
                  </w14:solidFill>
                </w14:textFill>
              </w:rPr>
            </w:pPr>
            <w:r>
              <w:rPr>
                <w:rFonts w:hint="eastAsia" w:asciiTheme="minorEastAsia" w:hAnsiTheme="minorEastAsia" w:cstheme="minorEastAsia"/>
                <w:color w:val="000000"/>
                <w:kern w:val="0"/>
                <w:sz w:val="20"/>
                <w:szCs w:val="20"/>
              </w:rPr>
              <w:t>占地面积8万m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以上，或工程造价在1200万元以上的园林绿化综合性工程，并完成栽植、铺植、整地、建筑及小品、花坛、园路、水体、水景、喷泉、驳岸、码头、园林设施及设备安装等工程。</w:t>
            </w:r>
          </w:p>
        </w:tc>
        <w:tc>
          <w:tcPr>
            <w:tcW w:w="1418" w:type="dxa"/>
            <w:vMerge w:val="restart"/>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50"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spacing w:val="-6"/>
                <w:kern w:val="0"/>
                <w:sz w:val="20"/>
                <w:szCs w:val="20"/>
              </w:rPr>
              <w:t>占地面积5万m</w:t>
            </w:r>
            <w:r>
              <w:rPr>
                <w:rFonts w:hint="eastAsia" w:asciiTheme="minorEastAsia" w:hAnsiTheme="minorEastAsia" w:cstheme="minorEastAsia"/>
                <w:color w:val="000000"/>
                <w:spacing w:val="-6"/>
                <w:kern w:val="0"/>
                <w:sz w:val="20"/>
                <w:szCs w:val="20"/>
                <w:vertAlign w:val="superscript"/>
              </w:rPr>
              <w:t>2</w:t>
            </w:r>
            <w:r>
              <w:rPr>
                <w:rFonts w:hint="eastAsia" w:asciiTheme="minorEastAsia" w:hAnsiTheme="minorEastAsia" w:cstheme="minorEastAsia"/>
                <w:color w:val="000000"/>
                <w:spacing w:val="-6"/>
                <w:kern w:val="0"/>
                <w:sz w:val="20"/>
                <w:szCs w:val="20"/>
              </w:rPr>
              <w:t>以上、8万m</w:t>
            </w:r>
            <w:r>
              <w:rPr>
                <w:rFonts w:hint="eastAsia" w:asciiTheme="minorEastAsia" w:hAnsiTheme="minorEastAsia" w:cstheme="minorEastAsia"/>
                <w:color w:val="000000"/>
                <w:spacing w:val="-6"/>
                <w:kern w:val="0"/>
                <w:sz w:val="20"/>
                <w:szCs w:val="20"/>
                <w:vertAlign w:val="superscript"/>
              </w:rPr>
              <w:t>2</w:t>
            </w:r>
            <w:r>
              <w:rPr>
                <w:rFonts w:hint="eastAsia" w:asciiTheme="minorEastAsia" w:hAnsiTheme="minorEastAsia" w:cstheme="minorEastAsia"/>
                <w:color w:val="000000"/>
                <w:spacing w:val="-6"/>
                <w:kern w:val="0"/>
                <w:sz w:val="20"/>
                <w:szCs w:val="20"/>
              </w:rPr>
              <w:t>以下，或工程造价在800万元以上，1200万元以下的园林绿化综合性工程，并完成栽植、铺植、整地、建筑及小品、花坛、园路、水体、水景、喷泉、驳岸、码头、园林设施及设备安装等工程。</w:t>
            </w:r>
          </w:p>
        </w:tc>
        <w:tc>
          <w:tcPr>
            <w:tcW w:w="1418"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50"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小型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spacing w:val="-6"/>
                <w:kern w:val="0"/>
                <w:sz w:val="20"/>
                <w:szCs w:val="20"/>
              </w:rPr>
              <w:t>占地面积2万m</w:t>
            </w:r>
            <w:r>
              <w:rPr>
                <w:rFonts w:hint="eastAsia" w:asciiTheme="minorEastAsia" w:hAnsiTheme="minorEastAsia" w:cstheme="minorEastAsia"/>
                <w:color w:val="000000"/>
                <w:spacing w:val="-6"/>
                <w:kern w:val="0"/>
                <w:sz w:val="20"/>
                <w:szCs w:val="20"/>
                <w:vertAlign w:val="superscript"/>
              </w:rPr>
              <w:t>2</w:t>
            </w:r>
            <w:r>
              <w:rPr>
                <w:rFonts w:hint="eastAsia" w:asciiTheme="minorEastAsia" w:hAnsiTheme="minorEastAsia" w:cstheme="minorEastAsia"/>
                <w:color w:val="000000"/>
                <w:spacing w:val="-6"/>
                <w:kern w:val="0"/>
                <w:sz w:val="20"/>
                <w:szCs w:val="20"/>
              </w:rPr>
              <w:t>以上、5万m</w:t>
            </w:r>
            <w:r>
              <w:rPr>
                <w:rFonts w:hint="eastAsia" w:asciiTheme="minorEastAsia" w:hAnsiTheme="minorEastAsia" w:cstheme="minorEastAsia"/>
                <w:color w:val="000000"/>
                <w:spacing w:val="-6"/>
                <w:kern w:val="0"/>
                <w:sz w:val="20"/>
                <w:szCs w:val="20"/>
                <w:vertAlign w:val="superscript"/>
              </w:rPr>
              <w:t>2</w:t>
            </w:r>
            <w:r>
              <w:rPr>
                <w:rFonts w:hint="eastAsia" w:asciiTheme="minorEastAsia" w:hAnsiTheme="minorEastAsia" w:cstheme="minorEastAsia"/>
                <w:color w:val="000000"/>
                <w:spacing w:val="-6"/>
                <w:kern w:val="0"/>
                <w:sz w:val="20"/>
                <w:szCs w:val="20"/>
              </w:rPr>
              <w:t>以下，或工程造价在300万元以上、800万元以下的园林绿化综合性工程，并完成栽植、铺植、整地、建筑及小品、花坛、园路、水体、水景、喷泉、驳岸、码头、园林设施及设备安装等工程。</w:t>
            </w:r>
          </w:p>
        </w:tc>
        <w:tc>
          <w:tcPr>
            <w:tcW w:w="1418"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2</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公园</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占地面积8万m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以上，且工程造价在1200万元以上的公园、游园等公共绿地。</w:t>
            </w:r>
          </w:p>
        </w:tc>
        <w:tc>
          <w:tcPr>
            <w:tcW w:w="1418"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占地面积5万m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以上、8万m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以下，或工程造价在800万元以上、1200万元以下的公园、游园等公共绿地。</w:t>
            </w:r>
          </w:p>
        </w:tc>
        <w:tc>
          <w:tcPr>
            <w:tcW w:w="1418"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占地面积2万m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以上、5万m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以下，或工程造价在300万元以上、800万元以下的公园、游园等公共绿地。</w:t>
            </w:r>
          </w:p>
        </w:tc>
        <w:tc>
          <w:tcPr>
            <w:tcW w:w="1418"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3</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主干道</w:t>
            </w:r>
          </w:p>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绿化、绿地</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占地面积8万m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以上，且工程造价在1000万元以上的主干道绿化、道路绿地、居住区绿地、单位附属绿地。</w:t>
            </w:r>
          </w:p>
        </w:tc>
        <w:tc>
          <w:tcPr>
            <w:tcW w:w="1418"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占地面积5万m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以上、8万m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以下，或工程造价在800万元以上、1000万元以下的主干道绿化、道路绿地、居住区绿地、单位附属绿地。</w:t>
            </w:r>
          </w:p>
        </w:tc>
        <w:tc>
          <w:tcPr>
            <w:tcW w:w="1418"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占地面积2万m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以上、5万m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以下，或工程造价在300万元以上、800万元以下的主干道绿化、道路绿地、居住区绿地、单位附属绿地。</w:t>
            </w:r>
          </w:p>
        </w:tc>
        <w:tc>
          <w:tcPr>
            <w:tcW w:w="1418" w:type="dxa"/>
            <w:vMerge w:val="continue"/>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4</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spacing w:val="-17"/>
                <w:kern w:val="0"/>
                <w:sz w:val="20"/>
                <w:szCs w:val="20"/>
              </w:rPr>
              <w:t>林地、</w:t>
            </w:r>
            <w:r>
              <w:rPr>
                <w:rFonts w:hint="eastAsia" w:asciiTheme="minorEastAsia" w:hAnsiTheme="minorEastAsia" w:cstheme="minorEastAsia"/>
                <w:color w:val="000000"/>
                <w:kern w:val="0"/>
                <w:sz w:val="20"/>
                <w:szCs w:val="20"/>
              </w:rPr>
              <w:t>防护绿地</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占地面积10万m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以上，且工程造价在1000万元以上的风景林地、防护绿地。</w:t>
            </w:r>
          </w:p>
        </w:tc>
        <w:tc>
          <w:tcPr>
            <w:tcW w:w="1418"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占地面积8万m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以上、10万m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以下，或工程造价在800万元以上、1000万元以下的风景林地、防护绿地。</w:t>
            </w:r>
          </w:p>
        </w:tc>
        <w:tc>
          <w:tcPr>
            <w:tcW w:w="1418"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32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占地面积3万m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以上、8万m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以下，或工程造价在300万元以上、800万元以下的风景林地、防护绿地。</w:t>
            </w:r>
          </w:p>
        </w:tc>
        <w:tc>
          <w:tcPr>
            <w:tcW w:w="1418"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5</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绿化养护</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323" w:type="dxa"/>
            <w:tcBorders>
              <w:tl2br w:val="nil"/>
              <w:tr2bl w:val="nil"/>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占地面积60万m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以上的绿化养护。</w:t>
            </w:r>
          </w:p>
        </w:tc>
        <w:tc>
          <w:tcPr>
            <w:tcW w:w="1418" w:type="dxa"/>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323" w:type="dxa"/>
            <w:tcBorders>
              <w:tl2br w:val="nil"/>
              <w:tr2bl w:val="nil"/>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占地面积30万m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以上、60万m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以下的绿化养护。</w:t>
            </w:r>
          </w:p>
        </w:tc>
        <w:tc>
          <w:tcPr>
            <w:tcW w:w="1418" w:type="dxa"/>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323" w:type="dxa"/>
            <w:tcBorders>
              <w:tl2br w:val="nil"/>
              <w:tr2bl w:val="nil"/>
            </w:tcBorders>
            <w:shd w:val="clear" w:color="auto" w:fill="auto"/>
            <w:vAlign w:val="center"/>
          </w:tcPr>
          <w:p>
            <w:pPr>
              <w:widowControl/>
              <w:spacing w:line="24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占地面积30万m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以下的绿化养护。</w:t>
            </w:r>
          </w:p>
        </w:tc>
        <w:tc>
          <w:tcPr>
            <w:tcW w:w="1418" w:type="dxa"/>
            <w:tcBorders>
              <w:tl2br w:val="nil"/>
              <w:tr2bl w:val="nil"/>
            </w:tcBorders>
            <w:shd w:val="clear" w:color="auto" w:fill="auto"/>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bl>
    <w:p>
      <w:pPr>
        <w:spacing w:line="220" w:lineRule="exact"/>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十、市政道桥专业</w:t>
      </w:r>
    </w:p>
    <w:tbl>
      <w:tblPr>
        <w:tblStyle w:val="5"/>
        <w:tblW w:w="9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567"/>
        <w:gridCol w:w="567"/>
        <w:gridCol w:w="6349"/>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exac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序号</w:t>
            </w:r>
          </w:p>
        </w:tc>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类型</w:t>
            </w:r>
          </w:p>
        </w:tc>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规模</w:t>
            </w:r>
          </w:p>
        </w:tc>
        <w:tc>
          <w:tcPr>
            <w:tcW w:w="6349"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参考标准</w:t>
            </w:r>
          </w:p>
        </w:tc>
        <w:tc>
          <w:tcPr>
            <w:tcW w:w="1701"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966"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1</w:t>
            </w:r>
          </w:p>
        </w:tc>
        <w:tc>
          <w:tcPr>
            <w:tcW w:w="567" w:type="dxa"/>
            <w:vMerge w:val="restart"/>
            <w:tcBorders>
              <w:tl2br w:val="nil"/>
              <w:tr2bl w:val="nil"/>
            </w:tcBorders>
            <w:shd w:val="clear" w:color="auto" w:fill="auto"/>
            <w:vAlign w:val="center"/>
          </w:tcPr>
          <w:p>
            <w:pPr>
              <w:widowControl/>
              <w:spacing w:line="30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市政道路工程</w:t>
            </w:r>
          </w:p>
        </w:tc>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大型</w:t>
            </w:r>
          </w:p>
        </w:tc>
        <w:tc>
          <w:tcPr>
            <w:tcW w:w="6349"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（1）城市快速路、主干道；</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w:t>
            </w:r>
            <w:r>
              <w:rPr>
                <w:rFonts w:hint="eastAsia" w:asciiTheme="minorEastAsia" w:hAnsiTheme="minorEastAsia" w:cstheme="minorEastAsia"/>
                <w:color w:val="000000"/>
                <w:spacing w:val="-9"/>
                <w:kern w:val="0"/>
                <w:sz w:val="20"/>
                <w:szCs w:val="20"/>
              </w:rPr>
              <w:t>全苜蓿叶型、双喇叭型纽</w:t>
            </w:r>
            <w:r>
              <w:rPr>
                <w:rFonts w:hint="eastAsia" w:asciiTheme="minorEastAsia" w:hAnsiTheme="minorEastAsia" w:cstheme="minorEastAsia"/>
                <w:color w:val="000000"/>
                <w:kern w:val="0"/>
                <w:sz w:val="20"/>
                <w:szCs w:val="20"/>
              </w:rPr>
              <w:t>型等独立的互通式立体交叉</w:t>
            </w:r>
          </w:p>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（3）快速公交系统、公交专用道、6000m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以上的公交场站。</w:t>
            </w:r>
          </w:p>
        </w:tc>
        <w:tc>
          <w:tcPr>
            <w:tcW w:w="1701" w:type="dxa"/>
            <w:tcBorders>
              <w:tl2br w:val="nil"/>
              <w:tr2bl w:val="nil"/>
            </w:tcBorders>
            <w:shd w:val="clear" w:color="auto" w:fill="auto"/>
            <w:vAlign w:val="center"/>
          </w:tcPr>
          <w:p>
            <w:pPr>
              <w:widowControl/>
              <w:spacing w:line="280" w:lineRule="exact"/>
              <w:jc w:val="left"/>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color w:val="000000"/>
                <w:kern w:val="0"/>
                <w:sz w:val="20"/>
                <w:szCs w:val="20"/>
              </w:rPr>
              <w:t>（1）</w:t>
            </w:r>
            <w:r>
              <w:rPr>
                <w:rFonts w:hint="eastAsia" w:asciiTheme="minorEastAsia" w:hAnsiTheme="minorEastAsia" w:cstheme="minorEastAsia"/>
                <w:color w:val="000000"/>
                <w:spacing w:val="-9"/>
                <w:kern w:val="0"/>
                <w:sz w:val="20"/>
                <w:szCs w:val="20"/>
              </w:rPr>
              <w:t>本条适用于设计</w:t>
            </w:r>
            <w:r>
              <w:rPr>
                <w:rFonts w:hint="eastAsia" w:asciiTheme="minorEastAsia" w:hAnsiTheme="minorEastAsia" w:cstheme="minorEastAsia"/>
                <w:color w:val="000000"/>
                <w:spacing w:val="-22"/>
                <w:kern w:val="0"/>
                <w:sz w:val="20"/>
                <w:szCs w:val="20"/>
              </w:rPr>
              <w:t>和建设管理类人员；</w:t>
            </w:r>
            <w:r>
              <w:rPr>
                <w:rFonts w:hint="eastAsia" w:asciiTheme="minorEastAsia" w:hAnsiTheme="minorEastAsia" w:cstheme="minorEastAsia"/>
                <w:color w:val="000000"/>
                <w:spacing w:val="-22"/>
                <w:kern w:val="0"/>
                <w:sz w:val="20"/>
                <w:szCs w:val="20"/>
              </w:rPr>
              <w:br w:type="textWrapping"/>
            </w:r>
            <w:r>
              <w:rPr>
                <w:rFonts w:hint="eastAsia" w:asciiTheme="minorEastAsia" w:hAnsiTheme="minorEastAsia" w:cstheme="minorEastAsia"/>
                <w:color w:val="000000"/>
                <w:kern w:val="0"/>
                <w:sz w:val="20"/>
                <w:szCs w:val="20"/>
              </w:rPr>
              <w:t>（2</w:t>
            </w:r>
            <w:r>
              <w:rPr>
                <w:rFonts w:hint="eastAsia" w:asciiTheme="minorEastAsia" w:hAnsiTheme="minorEastAsia" w:cstheme="minorEastAsia"/>
                <w:color w:val="000000"/>
                <w:spacing w:val="-28"/>
                <w:kern w:val="0"/>
                <w:sz w:val="20"/>
                <w:szCs w:val="20"/>
              </w:rPr>
              <w:t>）</w:t>
            </w:r>
            <w:r>
              <w:rPr>
                <w:rFonts w:hint="eastAsia" w:asciiTheme="minorEastAsia" w:hAnsiTheme="minorEastAsia" w:cstheme="minorEastAsia"/>
                <w:color w:val="000000"/>
                <w:spacing w:val="-20"/>
                <w:kern w:val="0"/>
                <w:sz w:val="20"/>
                <w:szCs w:val="20"/>
              </w:rPr>
              <w:t>主</w:t>
            </w:r>
            <w:r>
              <w:rPr>
                <w:rFonts w:hint="eastAsia" w:asciiTheme="minorEastAsia" w:hAnsiTheme="minorEastAsia" w:cstheme="minorEastAsia"/>
                <w:color w:val="000000"/>
                <w:spacing w:val="-6"/>
                <w:kern w:val="0"/>
                <w:sz w:val="20"/>
                <w:szCs w:val="20"/>
              </w:rPr>
              <w:t>干路的机动车</w:t>
            </w:r>
            <w:r>
              <w:rPr>
                <w:rFonts w:hint="eastAsia" w:asciiTheme="minorEastAsia" w:hAnsiTheme="minorEastAsia" w:cstheme="minorEastAsia"/>
                <w:color w:val="000000"/>
                <w:spacing w:val="-11"/>
                <w:kern w:val="0"/>
                <w:sz w:val="20"/>
                <w:szCs w:val="20"/>
              </w:rPr>
              <w:t>道数不小于6条，否则视为次干路；</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w:t>
            </w:r>
            <w:r>
              <w:rPr>
                <w:rFonts w:hint="eastAsia" w:asciiTheme="minorEastAsia" w:hAnsiTheme="minorEastAsia" w:cstheme="minorEastAsia"/>
                <w:color w:val="000000"/>
                <w:spacing w:val="-28"/>
                <w:kern w:val="0"/>
                <w:sz w:val="20"/>
                <w:szCs w:val="20"/>
              </w:rPr>
              <w:t>）</w:t>
            </w:r>
            <w:r>
              <w:rPr>
                <w:rFonts w:hint="eastAsia" w:asciiTheme="minorEastAsia" w:hAnsiTheme="minorEastAsia" w:cstheme="minorEastAsia"/>
                <w:color w:val="000000"/>
                <w:kern w:val="0"/>
                <w:sz w:val="20"/>
                <w:szCs w:val="20"/>
              </w:rPr>
              <w:t>此项包含对应</w:t>
            </w:r>
            <w:r>
              <w:rPr>
                <w:rFonts w:hint="eastAsia" w:asciiTheme="minorEastAsia" w:hAnsiTheme="minorEastAsia" w:cstheme="minorEastAsia"/>
                <w:color w:val="000000"/>
                <w:spacing w:val="-11"/>
                <w:kern w:val="0"/>
                <w:sz w:val="20"/>
                <w:szCs w:val="20"/>
              </w:rPr>
              <w:t>的交通工程设施。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311"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6349"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（1）城市快速路、主干道路基工程长度5km以上,单项工程合同额4000万元以上；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（2）高等级路面10万m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以上，单项工程合同额4000万元以上。</w:t>
            </w:r>
          </w:p>
        </w:tc>
        <w:tc>
          <w:tcPr>
            <w:tcW w:w="1701" w:type="dxa"/>
            <w:tcBorders>
              <w:tl2br w:val="nil"/>
              <w:tr2bl w:val="nil"/>
            </w:tcBorders>
            <w:shd w:val="clear" w:color="auto" w:fill="auto"/>
            <w:vAlign w:val="center"/>
          </w:tcPr>
          <w:p>
            <w:pPr>
              <w:widowControl/>
              <w:spacing w:line="260" w:lineRule="exact"/>
              <w:jc w:val="left"/>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color w:val="000000"/>
                <w:kern w:val="0"/>
                <w:sz w:val="20"/>
                <w:szCs w:val="20"/>
              </w:rPr>
              <w:t>适用于除设计和建设管理类外其他人员。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153"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中型</w:t>
            </w:r>
          </w:p>
        </w:tc>
        <w:tc>
          <w:tcPr>
            <w:tcW w:w="6349"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（1）城市次干道、简单立体交叉工程（含交通工程）；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（2）6000m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以下的公交场站；</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（3）路基工程：城市快速路、主</w:t>
            </w:r>
            <w:r>
              <w:rPr>
                <w:rFonts w:hint="eastAsia" w:asciiTheme="minorEastAsia" w:hAnsiTheme="minorEastAsia" w:cstheme="minorEastAsia"/>
                <w:color w:val="000000"/>
                <w:spacing w:val="-6"/>
                <w:kern w:val="0"/>
                <w:sz w:val="20"/>
                <w:szCs w:val="20"/>
              </w:rPr>
              <w:t>（次）干道路基工程2km以上、</w:t>
            </w:r>
            <w:r>
              <w:rPr>
                <w:rFonts w:hint="eastAsia" w:asciiTheme="minorEastAsia" w:hAnsiTheme="minorEastAsia" w:cstheme="minorEastAsia"/>
                <w:color w:val="000000"/>
                <w:kern w:val="0"/>
                <w:sz w:val="20"/>
                <w:szCs w:val="20"/>
              </w:rPr>
              <w:t>5km以下,单项工程合同额</w:t>
            </w:r>
            <w:r>
              <w:rPr>
                <w:rFonts w:hint="eastAsia" w:asciiTheme="minorEastAsia" w:hAnsiTheme="minorEastAsia" w:cstheme="minorEastAsia"/>
                <w:color w:val="000000"/>
                <w:spacing w:val="-10"/>
                <w:kern w:val="0"/>
                <w:sz w:val="20"/>
                <w:szCs w:val="20"/>
              </w:rPr>
              <w:t>1000万元以上、4000万元以下；</w:t>
            </w:r>
            <w:r>
              <w:rPr>
                <w:rFonts w:hint="eastAsia" w:asciiTheme="minorEastAsia" w:hAnsiTheme="minorEastAsia" w:cstheme="minorEastAsia"/>
                <w:color w:val="000000"/>
                <w:spacing w:val="-10"/>
                <w:kern w:val="0"/>
                <w:sz w:val="20"/>
                <w:szCs w:val="20"/>
              </w:rPr>
              <w:br w:type="textWrapping"/>
            </w:r>
            <w:r>
              <w:rPr>
                <w:rFonts w:hint="eastAsia" w:asciiTheme="minorEastAsia" w:hAnsiTheme="minorEastAsia" w:cstheme="minorEastAsia"/>
                <w:color w:val="000000"/>
                <w:kern w:val="0"/>
                <w:sz w:val="20"/>
                <w:szCs w:val="20"/>
              </w:rPr>
              <w:t>（4）路面工程：高等级路面5万</w:t>
            </w:r>
            <w:r>
              <w:rPr>
                <w:rFonts w:hint="eastAsia" w:asciiTheme="minorEastAsia" w:hAnsiTheme="minorEastAsia" w:cstheme="minorEastAsia"/>
                <w:color w:val="000000"/>
                <w:spacing w:val="-6"/>
                <w:kern w:val="0"/>
                <w:sz w:val="20"/>
                <w:szCs w:val="20"/>
              </w:rPr>
              <w:t>m</w:t>
            </w:r>
            <w:r>
              <w:rPr>
                <w:rFonts w:hint="eastAsia" w:asciiTheme="minorEastAsia" w:hAnsiTheme="minorEastAsia" w:cstheme="minorEastAsia"/>
                <w:color w:val="000000"/>
                <w:spacing w:val="-6"/>
                <w:kern w:val="0"/>
                <w:sz w:val="20"/>
                <w:szCs w:val="20"/>
                <w:vertAlign w:val="superscript"/>
              </w:rPr>
              <w:t>2</w:t>
            </w:r>
            <w:r>
              <w:rPr>
                <w:rFonts w:hint="eastAsia" w:asciiTheme="minorEastAsia" w:hAnsiTheme="minorEastAsia" w:cstheme="minorEastAsia"/>
                <w:color w:val="000000"/>
                <w:spacing w:val="-6"/>
                <w:kern w:val="0"/>
                <w:sz w:val="20"/>
                <w:szCs w:val="20"/>
              </w:rPr>
              <w:t>以上、10 万m</w:t>
            </w:r>
            <w:r>
              <w:rPr>
                <w:rFonts w:hint="eastAsia" w:asciiTheme="minorEastAsia" w:hAnsiTheme="minorEastAsia" w:cstheme="minorEastAsia"/>
                <w:color w:val="000000"/>
                <w:spacing w:val="-6"/>
                <w:kern w:val="0"/>
                <w:sz w:val="20"/>
                <w:szCs w:val="20"/>
                <w:vertAlign w:val="superscript"/>
              </w:rPr>
              <w:t>2</w:t>
            </w:r>
            <w:r>
              <w:rPr>
                <w:rFonts w:hint="eastAsia" w:asciiTheme="minorEastAsia" w:hAnsiTheme="minorEastAsia" w:cstheme="minorEastAsia"/>
                <w:color w:val="000000"/>
                <w:spacing w:val="-6"/>
                <w:kern w:val="0"/>
                <w:sz w:val="20"/>
                <w:szCs w:val="20"/>
              </w:rPr>
              <w:t>以下，单项</w:t>
            </w:r>
            <w:r>
              <w:rPr>
                <w:rFonts w:hint="eastAsia" w:asciiTheme="minorEastAsia" w:hAnsiTheme="minorEastAsia" w:cstheme="minorEastAsia"/>
                <w:color w:val="000000"/>
                <w:kern w:val="0"/>
                <w:sz w:val="20"/>
                <w:szCs w:val="20"/>
              </w:rPr>
              <w:t>工程合同额1000万元以上、4000万元以下。</w:t>
            </w:r>
          </w:p>
        </w:tc>
        <w:tc>
          <w:tcPr>
            <w:tcW w:w="1701" w:type="dxa"/>
            <w:tcBorders>
              <w:tl2br w:val="nil"/>
              <w:tr2bl w:val="nil"/>
            </w:tcBorders>
            <w:shd w:val="clear" w:color="auto" w:fill="auto"/>
            <w:vAlign w:val="center"/>
          </w:tcPr>
          <w:p>
            <w:pPr>
              <w:widowControl/>
              <w:spacing w:line="260" w:lineRule="exact"/>
              <w:jc w:val="left"/>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color w:val="000000"/>
                <w:kern w:val="0"/>
                <w:sz w:val="20"/>
                <w:szCs w:val="20"/>
              </w:rPr>
              <w:t>适用于设计和建设管理类人员。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82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6349"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（1）路基工程：城市快速路、主（次）干道路基工程2km以上、5km以下,单项工程合同额</w:t>
            </w:r>
            <w:r>
              <w:rPr>
                <w:rFonts w:hint="eastAsia" w:asciiTheme="minorEastAsia" w:hAnsiTheme="minorEastAsia" w:cstheme="minorEastAsia"/>
                <w:color w:val="000000"/>
                <w:spacing w:val="-9"/>
                <w:kern w:val="0"/>
                <w:sz w:val="20"/>
                <w:szCs w:val="20"/>
              </w:rPr>
              <w:t>1000万元以上、4000万元以下；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（2）路面工程：高等级路面5万m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以上、10 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以下，单项工程合同额1000万元以上、4000万元以下。</w:t>
            </w:r>
          </w:p>
        </w:tc>
        <w:tc>
          <w:tcPr>
            <w:tcW w:w="1701" w:type="dxa"/>
            <w:tcBorders>
              <w:tl2br w:val="nil"/>
              <w:tr2bl w:val="nil"/>
            </w:tcBorders>
            <w:shd w:val="clear" w:color="auto" w:fill="auto"/>
            <w:vAlign w:val="center"/>
          </w:tcPr>
          <w:p>
            <w:pPr>
              <w:widowControl/>
              <w:spacing w:line="260" w:lineRule="exact"/>
              <w:jc w:val="left"/>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color w:val="000000"/>
                <w:kern w:val="0"/>
                <w:sz w:val="20"/>
                <w:szCs w:val="20"/>
              </w:rPr>
              <w:t>适用于除设计和建设管理类外其他人员。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762"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349"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城市支路（含交通工程）。</w:t>
            </w:r>
          </w:p>
        </w:tc>
        <w:tc>
          <w:tcPr>
            <w:tcW w:w="1701" w:type="dxa"/>
            <w:tcBorders>
              <w:tl2br w:val="nil"/>
              <w:tr2bl w:val="nil"/>
            </w:tcBorders>
            <w:shd w:val="clear" w:color="auto" w:fill="auto"/>
            <w:vAlign w:val="center"/>
          </w:tcPr>
          <w:p>
            <w:pPr>
              <w:widowControl/>
              <w:spacing w:line="260" w:lineRule="exact"/>
              <w:jc w:val="left"/>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color w:val="000000"/>
                <w:kern w:val="0"/>
                <w:sz w:val="20"/>
                <w:szCs w:val="20"/>
              </w:rPr>
              <w:t>适用于设计和建设管理类人员。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652" w:hRule="exac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p>
        </w:tc>
        <w:tc>
          <w:tcPr>
            <w:tcW w:w="6349"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（1）路基工程：城市次干道路基工程2km以下，单项工程合同额1000万元以下；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（2）路面工程：次高等级路面，单项工程合同额1000万元以下。</w:t>
            </w:r>
          </w:p>
        </w:tc>
        <w:tc>
          <w:tcPr>
            <w:tcW w:w="1701" w:type="dxa"/>
            <w:tcBorders>
              <w:tl2br w:val="nil"/>
              <w:tr2bl w:val="nil"/>
            </w:tcBorders>
            <w:shd w:val="clear" w:color="auto" w:fill="auto"/>
            <w:vAlign w:val="center"/>
          </w:tcPr>
          <w:p>
            <w:pPr>
              <w:widowControl/>
              <w:spacing w:line="260" w:lineRule="exact"/>
              <w:jc w:val="left"/>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color w:val="000000"/>
                <w:kern w:val="0"/>
                <w:sz w:val="20"/>
                <w:szCs w:val="20"/>
              </w:rPr>
              <w:t>适用于除设计和建设管理类外其他人员。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949"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2</w:t>
            </w:r>
          </w:p>
          <w:p>
            <w:pPr>
              <w:widowControl/>
              <w:spacing w:line="220" w:lineRule="exact"/>
              <w:jc w:val="center"/>
              <w:rPr>
                <w:rFonts w:asciiTheme="minorEastAsia" w:hAnsiTheme="minorEastAsia" w:cstheme="minorEastAsia"/>
                <w:kern w:val="0"/>
                <w:sz w:val="20"/>
                <w:szCs w:val="20"/>
              </w:rPr>
            </w:pPr>
          </w:p>
        </w:tc>
        <w:tc>
          <w:tcPr>
            <w:tcW w:w="567" w:type="dxa"/>
            <w:vMerge w:val="restart"/>
            <w:tcBorders>
              <w:tl2br w:val="nil"/>
              <w:tr2bl w:val="nil"/>
            </w:tcBorders>
            <w:shd w:val="clear" w:color="auto" w:fill="auto"/>
            <w:vAlign w:val="center"/>
          </w:tcPr>
          <w:p>
            <w:pPr>
              <w:widowControl/>
              <w:spacing w:line="28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桥梁工程</w:t>
            </w:r>
          </w:p>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349"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（1）单跨跨度40m以上；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（2）总长100m以上的桥梁；</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（3）单项工程合同额3000万元以上。</w:t>
            </w:r>
          </w:p>
        </w:tc>
        <w:tc>
          <w:tcPr>
            <w:tcW w:w="1701" w:type="dxa"/>
            <w:vMerge w:val="restart"/>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09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349"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（1）单跨跨度20m以上、40m以下；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（2）总长30m以上、100m以下的桥梁；</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（3）单项工程合同额1000万元以上、3000万元以下。</w:t>
            </w:r>
          </w:p>
        </w:tc>
        <w:tc>
          <w:tcPr>
            <w:tcW w:w="1701" w:type="dxa"/>
            <w:vMerge w:val="continue"/>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101"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349" w:type="dxa"/>
            <w:tcBorders>
              <w:tl2br w:val="nil"/>
              <w:tr2bl w:val="nil"/>
            </w:tcBorders>
            <w:shd w:val="clear" w:color="auto" w:fill="auto"/>
            <w:vAlign w:val="center"/>
          </w:tcPr>
          <w:p>
            <w:pPr>
              <w:widowControl/>
              <w:spacing w:line="23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（1）单跨跨度20m以下；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（2）总长30m以下的桥梁；</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（3）单项工程合同额1000万元以下。</w:t>
            </w:r>
          </w:p>
        </w:tc>
        <w:tc>
          <w:tcPr>
            <w:tcW w:w="1701" w:type="dxa"/>
            <w:vMerge w:val="continue"/>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053" w:hRule="exac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3</w:t>
            </w:r>
          </w:p>
          <w:p>
            <w:pPr>
              <w:widowControl/>
              <w:spacing w:line="220" w:lineRule="exact"/>
              <w:jc w:val="center"/>
              <w:rPr>
                <w:rFonts w:asciiTheme="minorEastAsia" w:hAnsiTheme="minorEastAsia" w:cstheme="minorEastAsia"/>
                <w:kern w:val="0"/>
                <w:sz w:val="20"/>
                <w:szCs w:val="20"/>
              </w:rPr>
            </w:pPr>
          </w:p>
        </w:tc>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隧道工程和地下道路工程</w:t>
            </w:r>
          </w:p>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349"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（1）内径（宽或高）5m以上，或单洞洞长1000m以上；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（2）单项工程合同额3000万元以上。</w:t>
            </w:r>
          </w:p>
        </w:tc>
        <w:tc>
          <w:tcPr>
            <w:tcW w:w="1701" w:type="dxa"/>
            <w:vMerge w:val="restart"/>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1.含地下过街通道；小型工程不含盾构施工。</w:t>
            </w:r>
          </w:p>
          <w:p>
            <w:pPr>
              <w:widowControl/>
              <w:spacing w:line="260" w:lineRule="exact"/>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color w:val="000000"/>
                <w:kern w:val="0"/>
                <w:sz w:val="20"/>
                <w:szCs w:val="20"/>
              </w:rPr>
              <w:t>2.隧道是修建在地下、内部净空断面在2m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以上，两端有出口，供行人车辆等通行的工程建筑。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055" w:hRule="exac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349"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（1）内径（宽或高）3m以上、5m以下；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（2）单项工程合同额1000万元以上、3000万元以下。</w:t>
            </w:r>
          </w:p>
        </w:tc>
        <w:tc>
          <w:tcPr>
            <w:tcW w:w="1701" w:type="dxa"/>
            <w:vMerge w:val="continue"/>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057" w:hRule="exac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349" w:type="dxa"/>
            <w:tcBorders>
              <w:tl2br w:val="nil"/>
              <w:tr2bl w:val="nil"/>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（1）内径（宽或高）3m以下，且内部净空断面在2m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（2）单项工程合同额1000万元以下。</w:t>
            </w:r>
          </w:p>
        </w:tc>
        <w:tc>
          <w:tcPr>
            <w:tcW w:w="1701" w:type="dxa"/>
            <w:vMerge w:val="continue"/>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05"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4</w:t>
            </w:r>
          </w:p>
        </w:tc>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城市轨道交通工程</w:t>
            </w: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349" w:type="dxa"/>
            <w:tcBorders>
              <w:tl2br w:val="nil"/>
              <w:tr2bl w:val="nil"/>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城市轨道交通工程的车站、区间、车辆段及停车场的单位工程或工程造价1亿元以上的城市轨道交通工程。</w:t>
            </w:r>
          </w:p>
        </w:tc>
        <w:tc>
          <w:tcPr>
            <w:tcW w:w="1701" w:type="dxa"/>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67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349" w:type="dxa"/>
            <w:tcBorders>
              <w:tl2br w:val="nil"/>
              <w:tr2bl w:val="nil"/>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工程造价1亿元以下的城市轨道交通工程。</w:t>
            </w:r>
          </w:p>
        </w:tc>
        <w:tc>
          <w:tcPr>
            <w:tcW w:w="1701" w:type="dxa"/>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5"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5</w:t>
            </w:r>
          </w:p>
        </w:tc>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城市公共广场</w:t>
            </w: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349" w:type="dxa"/>
            <w:tcBorders>
              <w:tl2br w:val="nil"/>
              <w:tr2bl w:val="nil"/>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广场面积5万m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以上，单项工程合同额3000万元以上。</w:t>
            </w:r>
          </w:p>
        </w:tc>
        <w:tc>
          <w:tcPr>
            <w:tcW w:w="1701" w:type="dxa"/>
            <w:vMerge w:val="restart"/>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color w:val="000000"/>
                <w:kern w:val="0"/>
                <w:sz w:val="20"/>
                <w:szCs w:val="20"/>
              </w:rPr>
              <w:t>含体育场。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660"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349" w:type="dxa"/>
            <w:tcBorders>
              <w:tl2br w:val="nil"/>
              <w:tr2bl w:val="nil"/>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广场面积2万m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以上、5万m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以下，单项工程合同额1000万元以上、3000万元以下。</w:t>
            </w:r>
          </w:p>
        </w:tc>
        <w:tc>
          <w:tcPr>
            <w:tcW w:w="1701" w:type="dxa"/>
            <w:vMerge w:val="continue"/>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1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349" w:type="dxa"/>
            <w:tcBorders>
              <w:tl2br w:val="nil"/>
              <w:tr2bl w:val="nil"/>
            </w:tcBorders>
            <w:shd w:val="clear" w:color="auto" w:fill="auto"/>
            <w:vAlign w:val="center"/>
          </w:tcPr>
          <w:p>
            <w:pPr>
              <w:widowControl/>
              <w:spacing w:line="28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单项工程合同额1000万元以下。</w:t>
            </w:r>
          </w:p>
        </w:tc>
        <w:tc>
          <w:tcPr>
            <w:tcW w:w="1701" w:type="dxa"/>
            <w:vMerge w:val="continue"/>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6</w:t>
            </w:r>
          </w:p>
        </w:tc>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kern w:val="0"/>
                <w:sz w:val="20"/>
                <w:szCs w:val="20"/>
              </w:rPr>
            </w:pPr>
            <w:r>
              <w:rPr>
                <w:rFonts w:hint="eastAsia" w:asciiTheme="minorEastAsia" w:hAnsiTheme="minorEastAsia" w:cstheme="minorEastAsia"/>
                <w:color w:val="000000"/>
                <w:kern w:val="0"/>
                <w:sz w:val="20"/>
                <w:szCs w:val="20"/>
              </w:rPr>
              <w:t>交通安全设施</w:t>
            </w: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349" w:type="dxa"/>
            <w:tcBorders>
              <w:tl2br w:val="nil"/>
              <w:tr2bl w:val="nil"/>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单项工程合同额500万元以上。</w:t>
            </w:r>
          </w:p>
        </w:tc>
        <w:tc>
          <w:tcPr>
            <w:tcW w:w="1701" w:type="dxa"/>
            <w:vMerge w:val="restart"/>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r>
              <w:rPr>
                <w:rFonts w:hint="eastAsia" w:asciiTheme="minorEastAsia" w:hAnsiTheme="minorEastAsia" w:cstheme="minorEastAsia"/>
                <w:color w:val="000000"/>
                <w:kern w:val="0"/>
                <w:sz w:val="20"/>
                <w:szCs w:val="20"/>
              </w:rPr>
              <w:t>含护栏、隔离带，防护墩。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349" w:type="dxa"/>
            <w:tcBorders>
              <w:tl2br w:val="nil"/>
              <w:tr2bl w:val="nil"/>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单项工程合同额200万元以上、500万元以下。</w:t>
            </w:r>
          </w:p>
        </w:tc>
        <w:tc>
          <w:tcPr>
            <w:tcW w:w="1701" w:type="dxa"/>
            <w:vMerge w:val="continue"/>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54"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kern w:val="0"/>
                <w:sz w:val="20"/>
                <w:szCs w:val="20"/>
              </w:rPr>
            </w:pPr>
          </w:p>
        </w:tc>
        <w:tc>
          <w:tcPr>
            <w:tcW w:w="567"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349" w:type="dxa"/>
            <w:tcBorders>
              <w:tl2br w:val="nil"/>
              <w:tr2bl w:val="nil"/>
            </w:tcBorders>
            <w:shd w:val="clear" w:color="auto" w:fill="auto"/>
            <w:vAlign w:val="center"/>
          </w:tcPr>
          <w:p>
            <w:pPr>
              <w:widowControl/>
              <w:spacing w:line="28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单项工程合同额200万元以下。</w:t>
            </w:r>
          </w:p>
        </w:tc>
        <w:tc>
          <w:tcPr>
            <w:tcW w:w="1701" w:type="dxa"/>
            <w:vMerge w:val="continue"/>
            <w:tcBorders>
              <w:tl2br w:val="nil"/>
              <w:tr2bl w:val="nil"/>
            </w:tcBorders>
            <w:shd w:val="clear" w:color="auto" w:fill="auto"/>
            <w:vAlign w:val="center"/>
          </w:tcPr>
          <w:p>
            <w:pPr>
              <w:widowControl/>
              <w:spacing w:line="260" w:lineRule="exact"/>
              <w:jc w:val="center"/>
              <w:textAlignment w:val="center"/>
              <w:rPr>
                <w:rFonts w:asciiTheme="minorEastAsia" w:hAnsiTheme="minorEastAsia" w:cstheme="minorEastAsia"/>
                <w:color w:val="000000" w:themeColor="text1"/>
                <w:sz w:val="20"/>
                <w:szCs w:val="20"/>
                <w14:textFill>
                  <w14:solidFill>
                    <w14:schemeClr w14:val="tx1"/>
                  </w14:solidFill>
                </w14:textFill>
              </w:rPr>
            </w:pPr>
          </w:p>
        </w:tc>
      </w:tr>
    </w:tbl>
    <w:p>
      <w:pPr>
        <w:spacing w:line="160" w:lineRule="exact"/>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十一、给排水工程专业（1）</w:t>
      </w:r>
    </w:p>
    <w:tbl>
      <w:tblPr>
        <w:tblStyle w:val="5"/>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850"/>
        <w:gridCol w:w="850"/>
        <w:gridCol w:w="680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exac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规模</w:t>
            </w:r>
          </w:p>
        </w:tc>
        <w:tc>
          <w:tcPr>
            <w:tcW w:w="68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参考标准</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给水厂</w:t>
            </w: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规模10万m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w:t>
            </w:r>
          </w:p>
        </w:tc>
        <w:tc>
          <w:tcPr>
            <w:tcW w:w="1134"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/日以上、10万m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2</w:t>
            </w:r>
          </w:p>
        </w:tc>
        <w:tc>
          <w:tcPr>
            <w:tcW w:w="850"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给水泵站</w:t>
            </w: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规模20万m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w:t>
            </w:r>
          </w:p>
        </w:tc>
        <w:tc>
          <w:tcPr>
            <w:tcW w:w="1134"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/日以上、20万m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3</w:t>
            </w:r>
          </w:p>
        </w:tc>
        <w:tc>
          <w:tcPr>
            <w:tcW w:w="850"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给水管网</w:t>
            </w: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管道直径1600mm以上，且管线长度1km以上。</w:t>
            </w:r>
          </w:p>
        </w:tc>
        <w:tc>
          <w:tcPr>
            <w:tcW w:w="1134"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管道直径1000mm以上、1600mm以下，且管线长度1km以上。</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管道直径1000mm以上，且管线长度1km以上。</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4</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污水处理厂</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规模8万m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w:t>
            </w:r>
          </w:p>
        </w:tc>
        <w:tc>
          <w:tcPr>
            <w:tcW w:w="1134"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规模4万m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/日以上，8万m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规模4万m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5</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排水泵站</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规模10万m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/日以上，10万m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/日以下。</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6</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排水管网</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管道直径1500mm以上，且管线长度1km以上。</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管道直径1000mm以上、1500mm以下，且管线长度1km以上。</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4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管道直径1000mm以下，且管线长度1km以上。</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50"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7</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spacing w:val="-34"/>
                <w:kern w:val="0"/>
                <w:sz w:val="20"/>
                <w:szCs w:val="20"/>
              </w:rPr>
            </w:pPr>
            <w:r>
              <w:rPr>
                <w:rFonts w:hint="eastAsia" w:asciiTheme="minorEastAsia" w:hAnsiTheme="minorEastAsia" w:cstheme="minorEastAsia"/>
                <w:color w:val="000000"/>
                <w:spacing w:val="-11"/>
                <w:kern w:val="0"/>
                <w:sz w:val="20"/>
                <w:szCs w:val="20"/>
              </w:rPr>
              <w:t>综合工程</w:t>
            </w:r>
            <w:r>
              <w:rPr>
                <w:rFonts w:hint="eastAsia" w:asciiTheme="minorEastAsia" w:hAnsiTheme="minorEastAsia" w:cstheme="minorEastAsia"/>
                <w:color w:val="000000"/>
                <w:spacing w:val="-11"/>
                <w:kern w:val="0"/>
                <w:sz w:val="20"/>
                <w:szCs w:val="20"/>
              </w:rPr>
              <w:br w:type="textWrapping"/>
            </w:r>
            <w:r>
              <w:rPr>
                <w:rFonts w:hint="eastAsia" w:asciiTheme="minorEastAsia" w:hAnsiTheme="minorEastAsia" w:cstheme="minorEastAsia"/>
                <w:color w:val="000000"/>
                <w:spacing w:val="-20"/>
                <w:kern w:val="0"/>
                <w:sz w:val="20"/>
                <w:szCs w:val="20"/>
              </w:rPr>
              <w:t>(城市</w:t>
            </w:r>
          </w:p>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spacing w:val="-11"/>
                <w:kern w:val="0"/>
                <w:sz w:val="20"/>
                <w:szCs w:val="20"/>
              </w:rPr>
              <w:t>地下综合</w:t>
            </w:r>
            <w:r>
              <w:rPr>
                <w:rFonts w:hint="eastAsia" w:asciiTheme="minorEastAsia" w:hAnsiTheme="minorEastAsia" w:cstheme="minorEastAsia"/>
                <w:color w:val="000000"/>
                <w:spacing w:val="-17"/>
                <w:kern w:val="0"/>
                <w:sz w:val="20"/>
                <w:szCs w:val="20"/>
              </w:rPr>
              <w:t>管廊、</w:t>
            </w:r>
            <w:r>
              <w:rPr>
                <w:rFonts w:hint="eastAsia" w:asciiTheme="minorEastAsia" w:hAnsiTheme="minorEastAsia" w:cstheme="minorEastAsia"/>
                <w:color w:val="000000"/>
                <w:spacing w:val="-11"/>
                <w:kern w:val="0"/>
                <w:sz w:val="20"/>
                <w:szCs w:val="20"/>
              </w:rPr>
              <w:t>黑臭水体</w:t>
            </w:r>
            <w:r>
              <w:rPr>
                <w:rFonts w:hint="eastAsia" w:asciiTheme="minorEastAsia" w:hAnsiTheme="minorEastAsia" w:cstheme="minorEastAsia"/>
                <w:color w:val="000000"/>
                <w:spacing w:val="-17"/>
                <w:kern w:val="0"/>
                <w:sz w:val="20"/>
                <w:szCs w:val="20"/>
              </w:rPr>
              <w:t>整治、</w:t>
            </w:r>
            <w:r>
              <w:rPr>
                <w:rFonts w:hint="eastAsia" w:asciiTheme="minorEastAsia" w:hAnsiTheme="minorEastAsia" w:cstheme="minorEastAsia"/>
                <w:color w:val="000000"/>
                <w:spacing w:val="-11"/>
                <w:kern w:val="0"/>
                <w:sz w:val="20"/>
                <w:szCs w:val="20"/>
              </w:rPr>
              <w:t>水环境生态综合治理工程）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项目投资工程费用5000万元以上。</w:t>
            </w:r>
          </w:p>
        </w:tc>
        <w:tc>
          <w:tcPr>
            <w:tcW w:w="1134"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5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项目投资工程费用3000万元以上、5000万元以下。</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5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项目投资工程费用3000万元以下。</w:t>
            </w:r>
          </w:p>
        </w:tc>
        <w:tc>
          <w:tcPr>
            <w:tcW w:w="1134" w:type="dxa"/>
            <w:vMerge w:val="continue"/>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bl>
    <w:p>
      <w:pPr>
        <w:spacing w:line="220" w:lineRule="exact"/>
        <w:jc w:val="center"/>
        <w:rPr>
          <w:rFonts w:ascii="方正楷体_GBK" w:hAnsi="方正楷体_GBK" w:eastAsia="方正楷体_GBK" w:cs="方正楷体_GBK"/>
          <w:sz w:val="20"/>
          <w:szCs w:val="20"/>
        </w:rPr>
      </w:pPr>
    </w:p>
    <w:p>
      <w:pPr>
        <w:spacing w:line="2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t>注：本表适合于设计人员和建设单位工程管理人员。</w:t>
      </w:r>
    </w:p>
    <w:p>
      <w:pPr>
        <w:spacing w:line="220" w:lineRule="exact"/>
        <w:jc w:val="center"/>
        <w:rPr>
          <w:rFonts w:ascii="方正楷体_GBK" w:hAnsi="方正楷体_GBK" w:eastAsia="方正楷体_GBK" w:cs="方正楷体_GBK"/>
          <w:sz w:val="20"/>
          <w:szCs w:val="20"/>
        </w:rPr>
      </w:pPr>
    </w:p>
    <w:p>
      <w:pPr>
        <w:spacing w:line="220" w:lineRule="exact"/>
        <w:jc w:val="center"/>
        <w:rPr>
          <w:rFonts w:ascii="方正楷体_GBK" w:hAnsi="方正楷体_GBK" w:eastAsia="方正楷体_GBK" w:cs="方正楷体_GBK"/>
          <w:sz w:val="20"/>
          <w:szCs w:val="20"/>
        </w:rPr>
      </w:pPr>
    </w:p>
    <w:p>
      <w:pPr>
        <w:spacing w:line="220" w:lineRule="exact"/>
        <w:jc w:val="center"/>
        <w:rPr>
          <w:rFonts w:ascii="方正楷体_GBK" w:hAnsi="方正楷体_GBK" w:eastAsia="方正楷体_GBK" w:cs="方正楷体_GBK"/>
          <w:sz w:val="20"/>
          <w:szCs w:val="20"/>
        </w:rPr>
      </w:pPr>
    </w:p>
    <w:p>
      <w:pPr>
        <w:spacing w:line="220" w:lineRule="exact"/>
        <w:jc w:val="center"/>
        <w:rPr>
          <w:rFonts w:ascii="方正楷体_GBK" w:hAnsi="方正楷体_GBK" w:eastAsia="方正楷体_GBK" w:cs="方正楷体_GBK"/>
          <w:sz w:val="20"/>
          <w:szCs w:val="20"/>
        </w:rPr>
      </w:pPr>
    </w:p>
    <w:p>
      <w:pPr>
        <w:spacing w:line="220" w:lineRule="exact"/>
        <w:rPr>
          <w:rFonts w:ascii="方正楷体_GBK" w:hAnsi="方正楷体_GBK" w:eastAsia="方正楷体_GBK" w:cs="方正楷体_GBK"/>
          <w:sz w:val="20"/>
          <w:szCs w:val="20"/>
        </w:rPr>
      </w:pP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十一、给排水工程专业（2）</w:t>
      </w:r>
    </w:p>
    <w:p>
      <w:pPr>
        <w:spacing w:line="400" w:lineRule="exact"/>
        <w:jc w:val="center"/>
        <w:rPr>
          <w:rFonts w:ascii="方正楷体_GBK" w:hAnsi="方正楷体_GBK" w:eastAsia="方正楷体_GBK" w:cs="方正楷体_GBK"/>
          <w:sz w:val="20"/>
          <w:szCs w:val="20"/>
        </w:rPr>
      </w:pPr>
    </w:p>
    <w:tbl>
      <w:tblPr>
        <w:tblStyle w:val="5"/>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850"/>
        <w:gridCol w:w="850"/>
        <w:gridCol w:w="680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规模</w:t>
            </w:r>
          </w:p>
        </w:tc>
        <w:tc>
          <w:tcPr>
            <w:tcW w:w="68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参考标准</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1"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给水厂</w:t>
            </w: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70" w:lineRule="exact"/>
              <w:jc w:val="lef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20万m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/日以上，且单项合同额3000万元以上的供水厂工程。</w:t>
            </w:r>
          </w:p>
        </w:tc>
        <w:tc>
          <w:tcPr>
            <w:tcW w:w="1134" w:type="dxa"/>
            <w:vMerge w:val="restart"/>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68"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70" w:lineRule="exact"/>
              <w:jc w:val="lef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spacing w:val="-6"/>
                <w:kern w:val="0"/>
                <w:sz w:val="20"/>
                <w:szCs w:val="20"/>
              </w:rPr>
              <w:t>8万m</w:t>
            </w:r>
            <w:r>
              <w:rPr>
                <w:rFonts w:hint="eastAsia" w:asciiTheme="minorEastAsia" w:hAnsiTheme="minorEastAsia" w:cstheme="minorEastAsia"/>
                <w:color w:val="000000"/>
                <w:spacing w:val="-6"/>
                <w:kern w:val="0"/>
                <w:sz w:val="20"/>
                <w:szCs w:val="20"/>
                <w:vertAlign w:val="superscript"/>
              </w:rPr>
              <w:t>3</w:t>
            </w:r>
            <w:r>
              <w:rPr>
                <w:rFonts w:hint="eastAsia" w:asciiTheme="minorEastAsia" w:hAnsiTheme="minorEastAsia" w:cstheme="minorEastAsia"/>
                <w:color w:val="000000"/>
                <w:spacing w:val="-6"/>
                <w:kern w:val="0"/>
                <w:sz w:val="20"/>
                <w:szCs w:val="20"/>
              </w:rPr>
              <w:t>/日以上、20万m</w:t>
            </w:r>
            <w:r>
              <w:rPr>
                <w:rFonts w:hint="eastAsia" w:asciiTheme="minorEastAsia" w:hAnsiTheme="minorEastAsia" w:cstheme="minorEastAsia"/>
                <w:color w:val="000000"/>
                <w:spacing w:val="-6"/>
                <w:kern w:val="0"/>
                <w:sz w:val="20"/>
                <w:szCs w:val="20"/>
                <w:vertAlign w:val="superscript"/>
              </w:rPr>
              <w:t>3</w:t>
            </w:r>
            <w:r>
              <w:rPr>
                <w:rFonts w:hint="eastAsia" w:asciiTheme="minorEastAsia" w:hAnsiTheme="minorEastAsia" w:cstheme="minorEastAsia"/>
                <w:color w:val="000000"/>
                <w:spacing w:val="-6"/>
                <w:kern w:val="0"/>
                <w:sz w:val="20"/>
                <w:szCs w:val="20"/>
              </w:rPr>
              <w:t>/日以下，且单项合同额2000万元以上的供水厂工程。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70" w:lineRule="exact"/>
              <w:jc w:val="lef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spacing w:val="-6"/>
                <w:kern w:val="0"/>
                <w:sz w:val="20"/>
                <w:szCs w:val="20"/>
              </w:rPr>
              <w:t>5万m</w:t>
            </w:r>
            <w:r>
              <w:rPr>
                <w:rFonts w:hint="eastAsia" w:asciiTheme="minorEastAsia" w:hAnsiTheme="minorEastAsia" w:cstheme="minorEastAsia"/>
                <w:color w:val="000000"/>
                <w:spacing w:val="-6"/>
                <w:kern w:val="0"/>
                <w:sz w:val="20"/>
                <w:szCs w:val="20"/>
                <w:vertAlign w:val="superscript"/>
              </w:rPr>
              <w:t>3</w:t>
            </w:r>
            <w:r>
              <w:rPr>
                <w:rFonts w:hint="eastAsia" w:asciiTheme="minorEastAsia" w:hAnsiTheme="minorEastAsia" w:cstheme="minorEastAsia"/>
                <w:color w:val="000000"/>
                <w:spacing w:val="-6"/>
                <w:kern w:val="0"/>
                <w:sz w:val="20"/>
                <w:szCs w:val="20"/>
              </w:rPr>
              <w:t>/日以上、8万m</w:t>
            </w:r>
            <w:r>
              <w:rPr>
                <w:rFonts w:hint="eastAsia" w:asciiTheme="minorEastAsia" w:hAnsiTheme="minorEastAsia" w:cstheme="minorEastAsia"/>
                <w:color w:val="000000"/>
                <w:spacing w:val="-6"/>
                <w:kern w:val="0"/>
                <w:sz w:val="20"/>
                <w:szCs w:val="20"/>
                <w:vertAlign w:val="superscript"/>
              </w:rPr>
              <w:t>3</w:t>
            </w:r>
            <w:r>
              <w:rPr>
                <w:rFonts w:hint="eastAsia" w:asciiTheme="minorEastAsia" w:hAnsiTheme="minorEastAsia" w:cstheme="minorEastAsia"/>
                <w:color w:val="000000"/>
                <w:spacing w:val="-6"/>
                <w:kern w:val="0"/>
                <w:sz w:val="20"/>
                <w:szCs w:val="20"/>
              </w:rPr>
              <w:t>/日以下，且单项合同额2000万元以下的供水厂工程。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2</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给水</w:t>
            </w:r>
          </w:p>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泵站</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7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规模20万m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w:t>
            </w:r>
          </w:p>
        </w:tc>
        <w:tc>
          <w:tcPr>
            <w:tcW w:w="1134" w:type="dxa"/>
            <w:vMerge w:val="restart"/>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7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/日以上，20万m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7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3</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给水</w:t>
            </w:r>
          </w:p>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管网</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7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管道直径1600mm以上，且管线长度10km以上的供水管道工程。</w:t>
            </w:r>
          </w:p>
        </w:tc>
        <w:tc>
          <w:tcPr>
            <w:tcW w:w="1134" w:type="dxa"/>
            <w:vMerge w:val="restart"/>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7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管道直径600mm以上、1600mm以下，且管线长度5km以上的供水管道工程。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7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管道直径400mm以上、600mm以下，且管线长度1km以上的供水管道工程。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restart"/>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4</w:t>
            </w:r>
          </w:p>
        </w:tc>
        <w:tc>
          <w:tcPr>
            <w:tcW w:w="850" w:type="dxa"/>
            <w:vMerge w:val="restart"/>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污水</w:t>
            </w:r>
          </w:p>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处理厂</w:t>
            </w:r>
          </w:p>
        </w:tc>
        <w:tc>
          <w:tcPr>
            <w:tcW w:w="850" w:type="dxa"/>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7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10万m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/日以上，且单项工程合同额3000万元以上的污水处理工程。</w:t>
            </w:r>
          </w:p>
        </w:tc>
        <w:tc>
          <w:tcPr>
            <w:tcW w:w="1134" w:type="dxa"/>
            <w:vMerge w:val="restart"/>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7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spacing w:val="-6"/>
                <w:kern w:val="0"/>
                <w:sz w:val="20"/>
                <w:szCs w:val="20"/>
              </w:rPr>
              <w:t>5万m</w:t>
            </w:r>
            <w:r>
              <w:rPr>
                <w:rFonts w:hint="eastAsia" w:asciiTheme="minorEastAsia" w:hAnsiTheme="minorEastAsia" w:cstheme="minorEastAsia"/>
                <w:color w:val="000000"/>
                <w:spacing w:val="-6"/>
                <w:kern w:val="0"/>
                <w:sz w:val="20"/>
                <w:szCs w:val="20"/>
                <w:vertAlign w:val="superscript"/>
              </w:rPr>
              <w:t>3</w:t>
            </w:r>
            <w:r>
              <w:rPr>
                <w:rFonts w:hint="eastAsia" w:asciiTheme="minorEastAsia" w:hAnsiTheme="minorEastAsia" w:cstheme="minorEastAsia"/>
                <w:color w:val="000000"/>
                <w:spacing w:val="-6"/>
                <w:kern w:val="0"/>
                <w:sz w:val="20"/>
                <w:szCs w:val="20"/>
              </w:rPr>
              <w:t>/日以上、10万m</w:t>
            </w:r>
            <w:r>
              <w:rPr>
                <w:rFonts w:hint="eastAsia" w:asciiTheme="minorEastAsia" w:hAnsiTheme="minorEastAsia" w:cstheme="minorEastAsia"/>
                <w:color w:val="000000"/>
                <w:spacing w:val="-6"/>
                <w:kern w:val="0"/>
                <w:sz w:val="20"/>
                <w:szCs w:val="20"/>
                <w:vertAlign w:val="superscript"/>
              </w:rPr>
              <w:t>3</w:t>
            </w:r>
            <w:r>
              <w:rPr>
                <w:rFonts w:hint="eastAsia" w:asciiTheme="minorEastAsia" w:hAnsiTheme="minorEastAsia" w:cstheme="minorEastAsia"/>
                <w:color w:val="000000"/>
                <w:spacing w:val="-6"/>
                <w:kern w:val="0"/>
                <w:sz w:val="20"/>
                <w:szCs w:val="20"/>
              </w:rPr>
              <w:t>/日以下，且单项合同额2000万元以上的污水处理工程。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70" w:lineRule="exact"/>
              <w:jc w:val="lef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spacing w:val="-6"/>
                <w:kern w:val="0"/>
                <w:sz w:val="20"/>
                <w:szCs w:val="20"/>
              </w:rPr>
              <w:t>3万m</w:t>
            </w:r>
            <w:r>
              <w:rPr>
                <w:rFonts w:hint="eastAsia" w:asciiTheme="minorEastAsia" w:hAnsiTheme="minorEastAsia" w:cstheme="minorEastAsia"/>
                <w:color w:val="000000"/>
                <w:spacing w:val="-6"/>
                <w:kern w:val="0"/>
                <w:sz w:val="20"/>
                <w:szCs w:val="20"/>
                <w:vertAlign w:val="superscript"/>
              </w:rPr>
              <w:t>3</w:t>
            </w:r>
            <w:r>
              <w:rPr>
                <w:rFonts w:hint="eastAsia" w:asciiTheme="minorEastAsia" w:hAnsiTheme="minorEastAsia" w:cstheme="minorEastAsia"/>
                <w:color w:val="000000"/>
                <w:spacing w:val="-6"/>
                <w:kern w:val="0"/>
                <w:sz w:val="20"/>
                <w:szCs w:val="20"/>
              </w:rPr>
              <w:t>/日以上、5万m</w:t>
            </w:r>
            <w:r>
              <w:rPr>
                <w:rFonts w:hint="eastAsia" w:asciiTheme="minorEastAsia" w:hAnsiTheme="minorEastAsia" w:cstheme="minorEastAsia"/>
                <w:color w:val="000000"/>
                <w:spacing w:val="-6"/>
                <w:kern w:val="0"/>
                <w:sz w:val="20"/>
                <w:szCs w:val="20"/>
                <w:vertAlign w:val="superscript"/>
              </w:rPr>
              <w:t>3</w:t>
            </w:r>
            <w:r>
              <w:rPr>
                <w:rFonts w:hint="eastAsia" w:asciiTheme="minorEastAsia" w:hAnsiTheme="minorEastAsia" w:cstheme="minorEastAsia"/>
                <w:color w:val="000000"/>
                <w:spacing w:val="-6"/>
                <w:kern w:val="0"/>
                <w:sz w:val="20"/>
                <w:szCs w:val="20"/>
              </w:rPr>
              <w:t>/日以下，且单项合同额2000万元以下的污水处理工程。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5</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排水</w:t>
            </w:r>
          </w:p>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泵站</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jc w:val="left"/>
              <w:textAlignment w:val="center"/>
              <w:rPr>
                <w:rFonts w:asciiTheme="minorEastAsia" w:hAnsiTheme="minorEastAsia" w:cstheme="minorEastAsia"/>
                <w:color w:val="000000"/>
                <w:spacing w:val="-6"/>
                <w:kern w:val="0"/>
                <w:sz w:val="20"/>
                <w:szCs w:val="20"/>
              </w:rPr>
            </w:pPr>
            <w:r>
              <w:rPr>
                <w:rFonts w:hint="eastAsia" w:asciiTheme="minorEastAsia" w:hAnsiTheme="minorEastAsia" w:cstheme="minorEastAsia"/>
                <w:color w:val="000000"/>
                <w:kern w:val="0"/>
                <w:sz w:val="20"/>
                <w:szCs w:val="20"/>
              </w:rPr>
              <w:t>规模10万m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jc w:val="left"/>
              <w:textAlignment w:val="center"/>
              <w:rPr>
                <w:rFonts w:asciiTheme="minorEastAsia" w:hAnsiTheme="minorEastAsia" w:cstheme="minorEastAsia"/>
                <w:color w:val="000000"/>
                <w:spacing w:val="-6"/>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/日以上，10万m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jc w:val="left"/>
              <w:textAlignment w:val="center"/>
              <w:rPr>
                <w:rFonts w:asciiTheme="minorEastAsia" w:hAnsiTheme="minorEastAsia" w:cstheme="minorEastAsia"/>
                <w:color w:val="000000"/>
                <w:spacing w:val="-6"/>
                <w:kern w:val="0"/>
                <w:sz w:val="20"/>
                <w:szCs w:val="20"/>
              </w:rPr>
            </w:pPr>
            <w:r>
              <w:rPr>
                <w:rFonts w:hint="eastAsia" w:asciiTheme="minorEastAsia" w:hAnsiTheme="minorEastAsia" w:cstheme="minorEastAsia"/>
                <w:color w:val="000000"/>
                <w:kern w:val="0"/>
                <w:sz w:val="20"/>
                <w:szCs w:val="20"/>
              </w:rPr>
              <w:t>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6</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排水</w:t>
            </w:r>
          </w:p>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管网</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jc w:val="left"/>
              <w:textAlignment w:val="center"/>
              <w:rPr>
                <w:rFonts w:asciiTheme="minorEastAsia" w:hAnsiTheme="minorEastAsia" w:cstheme="minorEastAsia"/>
                <w:color w:val="000000"/>
                <w:spacing w:val="-6"/>
                <w:kern w:val="0"/>
                <w:sz w:val="20"/>
                <w:szCs w:val="20"/>
              </w:rPr>
            </w:pPr>
            <w:r>
              <w:rPr>
                <w:rFonts w:hint="eastAsia" w:asciiTheme="minorEastAsia" w:hAnsiTheme="minorEastAsia" w:cstheme="minorEastAsia"/>
                <w:color w:val="000000"/>
                <w:kern w:val="0"/>
                <w:sz w:val="20"/>
                <w:szCs w:val="20"/>
              </w:rPr>
              <w:t>管道直径1600mm以上，且管线长度10km以上。</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18"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jc w:val="left"/>
              <w:textAlignment w:val="center"/>
              <w:rPr>
                <w:rFonts w:asciiTheme="minorEastAsia" w:hAnsiTheme="minorEastAsia" w:cstheme="minorEastAsia"/>
                <w:color w:val="000000"/>
                <w:spacing w:val="-6"/>
                <w:kern w:val="0"/>
                <w:sz w:val="20"/>
                <w:szCs w:val="20"/>
              </w:rPr>
            </w:pPr>
            <w:r>
              <w:rPr>
                <w:rFonts w:hint="eastAsia" w:asciiTheme="minorEastAsia" w:hAnsiTheme="minorEastAsia" w:cstheme="minorEastAsia"/>
                <w:color w:val="000000"/>
                <w:kern w:val="0"/>
                <w:sz w:val="20"/>
                <w:szCs w:val="20"/>
              </w:rPr>
              <w:t>管道直径600mm以上、1600mm以下，且管线长度5km以上。</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680"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7</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spacing w:val="-11"/>
                <w:kern w:val="0"/>
                <w:sz w:val="20"/>
                <w:szCs w:val="20"/>
              </w:rPr>
            </w:pPr>
            <w:r>
              <w:rPr>
                <w:rFonts w:hint="eastAsia" w:asciiTheme="minorEastAsia" w:hAnsiTheme="minorEastAsia" w:cstheme="minorEastAsia"/>
                <w:color w:val="000000"/>
                <w:spacing w:val="-11"/>
                <w:kern w:val="0"/>
                <w:sz w:val="20"/>
                <w:szCs w:val="20"/>
              </w:rPr>
              <w:t>综合</w:t>
            </w:r>
          </w:p>
          <w:p>
            <w:pPr>
              <w:widowControl/>
              <w:spacing w:line="220" w:lineRule="exact"/>
              <w:jc w:val="center"/>
              <w:textAlignment w:val="center"/>
              <w:rPr>
                <w:rFonts w:asciiTheme="minorEastAsia" w:hAnsiTheme="minorEastAsia" w:cstheme="minorEastAsia"/>
                <w:color w:val="000000"/>
                <w:spacing w:val="-11"/>
                <w:kern w:val="0"/>
                <w:sz w:val="20"/>
                <w:szCs w:val="20"/>
              </w:rPr>
            </w:pPr>
            <w:r>
              <w:rPr>
                <w:rFonts w:hint="eastAsia" w:asciiTheme="minorEastAsia" w:hAnsiTheme="minorEastAsia" w:cstheme="minorEastAsia"/>
                <w:color w:val="000000"/>
                <w:spacing w:val="-11"/>
                <w:kern w:val="0"/>
                <w:sz w:val="20"/>
                <w:szCs w:val="20"/>
              </w:rPr>
              <w:t>工程</w:t>
            </w:r>
          </w:p>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spacing w:val="-20"/>
                <w:kern w:val="0"/>
                <w:sz w:val="20"/>
                <w:szCs w:val="20"/>
              </w:rPr>
              <w:t>(城市</w:t>
            </w:r>
            <w:r>
              <w:rPr>
                <w:rFonts w:hint="eastAsia" w:asciiTheme="minorEastAsia" w:hAnsiTheme="minorEastAsia" w:cstheme="minorEastAsia"/>
                <w:color w:val="000000"/>
                <w:spacing w:val="-11"/>
                <w:kern w:val="0"/>
                <w:sz w:val="20"/>
                <w:szCs w:val="20"/>
              </w:rPr>
              <w:t>地下综合</w:t>
            </w:r>
            <w:r>
              <w:rPr>
                <w:rFonts w:hint="eastAsia" w:asciiTheme="minorEastAsia" w:hAnsiTheme="minorEastAsia" w:cstheme="minorEastAsia"/>
                <w:color w:val="000000"/>
                <w:spacing w:val="-17"/>
                <w:kern w:val="0"/>
                <w:sz w:val="20"/>
                <w:szCs w:val="20"/>
              </w:rPr>
              <w:t>管廊、</w:t>
            </w:r>
            <w:r>
              <w:rPr>
                <w:rFonts w:hint="eastAsia" w:asciiTheme="minorEastAsia" w:hAnsiTheme="minorEastAsia" w:cstheme="minorEastAsia"/>
                <w:color w:val="000000"/>
                <w:spacing w:val="-11"/>
                <w:kern w:val="0"/>
                <w:sz w:val="20"/>
                <w:szCs w:val="20"/>
              </w:rPr>
              <w:t>黑臭水体</w:t>
            </w:r>
            <w:r>
              <w:rPr>
                <w:rFonts w:hint="eastAsia" w:asciiTheme="minorEastAsia" w:hAnsiTheme="minorEastAsia" w:cstheme="minorEastAsia"/>
                <w:color w:val="000000"/>
                <w:spacing w:val="-17"/>
                <w:kern w:val="0"/>
                <w:sz w:val="20"/>
                <w:szCs w:val="20"/>
              </w:rPr>
              <w:t>整治、</w:t>
            </w:r>
            <w:r>
              <w:rPr>
                <w:rFonts w:hint="eastAsia" w:asciiTheme="minorEastAsia" w:hAnsiTheme="minorEastAsia" w:cstheme="minorEastAsia"/>
                <w:color w:val="000000"/>
                <w:spacing w:val="-11"/>
                <w:kern w:val="0"/>
                <w:sz w:val="20"/>
                <w:szCs w:val="20"/>
              </w:rPr>
              <w:t>水环境生态综合治理工程）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jc w:val="left"/>
              <w:textAlignment w:val="center"/>
              <w:rPr>
                <w:rFonts w:asciiTheme="minorEastAsia" w:hAnsiTheme="minorEastAsia" w:cstheme="minorEastAsia"/>
                <w:color w:val="000000"/>
                <w:spacing w:val="-6"/>
                <w:kern w:val="0"/>
                <w:sz w:val="20"/>
                <w:szCs w:val="20"/>
              </w:rPr>
            </w:pPr>
            <w:r>
              <w:rPr>
                <w:rFonts w:hint="eastAsia" w:asciiTheme="minorEastAsia" w:hAnsiTheme="minorEastAsia" w:cstheme="minorEastAsia"/>
                <w:color w:val="000000"/>
                <w:kern w:val="0"/>
                <w:sz w:val="20"/>
                <w:szCs w:val="20"/>
              </w:rPr>
              <w:t>单项合同额5000万元以上。</w:t>
            </w:r>
          </w:p>
        </w:tc>
        <w:tc>
          <w:tcPr>
            <w:tcW w:w="1134" w:type="dxa"/>
            <w:vMerge w:val="restart"/>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68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jc w:val="left"/>
              <w:textAlignment w:val="center"/>
              <w:rPr>
                <w:rFonts w:asciiTheme="minorEastAsia" w:hAnsiTheme="minorEastAsia" w:cstheme="minorEastAsia"/>
                <w:color w:val="000000"/>
                <w:spacing w:val="-6"/>
                <w:kern w:val="0"/>
                <w:sz w:val="20"/>
                <w:szCs w:val="20"/>
              </w:rPr>
            </w:pPr>
            <w:r>
              <w:rPr>
                <w:rFonts w:hint="eastAsia" w:asciiTheme="minorEastAsia" w:hAnsiTheme="minorEastAsia" w:cstheme="minorEastAsia"/>
                <w:color w:val="000000"/>
                <w:kern w:val="0"/>
                <w:sz w:val="20"/>
                <w:szCs w:val="20"/>
              </w:rPr>
              <w:t>单项合同额3000万元以上、5000万元以下。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68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jc w:val="left"/>
              <w:textAlignment w:val="center"/>
              <w:rPr>
                <w:rFonts w:asciiTheme="minorEastAsia" w:hAnsiTheme="minorEastAsia" w:cstheme="minorEastAsia"/>
                <w:color w:val="000000"/>
                <w:spacing w:val="-6"/>
                <w:kern w:val="0"/>
                <w:sz w:val="20"/>
                <w:szCs w:val="20"/>
              </w:rPr>
            </w:pPr>
            <w:r>
              <w:rPr>
                <w:rFonts w:hint="eastAsia" w:asciiTheme="minorEastAsia" w:hAnsiTheme="minorEastAsia" w:cstheme="minorEastAsia"/>
                <w:color w:val="000000"/>
                <w:kern w:val="0"/>
                <w:sz w:val="20"/>
                <w:szCs w:val="20"/>
              </w:rPr>
              <w:t>单项合同额3000万元以下。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bl>
    <w:p>
      <w:pPr>
        <w:spacing w:beforeLines="25" w:line="220" w:lineRule="exact"/>
        <w:jc w:val="left"/>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t>注：本表适合于设计人员和建设单位工程管理人员以外的相关人员，如：监理、质检、造价等。</w:t>
      </w:r>
    </w:p>
    <w:p>
      <w:pPr>
        <w:spacing w:line="2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十二、给排水——水质监测专业</w:t>
      </w:r>
    </w:p>
    <w:tbl>
      <w:tblPr>
        <w:tblStyle w:val="5"/>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850"/>
        <w:gridCol w:w="850"/>
        <w:gridCol w:w="680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604" w:hRule="atLeast"/>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rPr>
              <w:t>规模</w:t>
            </w:r>
          </w:p>
        </w:tc>
        <w:tc>
          <w:tcPr>
            <w:tcW w:w="68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rPr>
              <w:t>参考标准</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256" w:hRule="atLeast"/>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30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水质</w:t>
            </w:r>
          </w:p>
          <w:p>
            <w:pPr>
              <w:widowControl/>
              <w:spacing w:line="300" w:lineRule="exact"/>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监测</w:t>
            </w:r>
          </w:p>
        </w:tc>
        <w:tc>
          <w:tcPr>
            <w:tcW w:w="850" w:type="dxa"/>
            <w:tcBorders>
              <w:tl2br w:val="nil"/>
              <w:tr2bl w:val="nil"/>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（1）国家或省市下达的重大监测任务，供水、排水监测分析新项目的开发与验证等；</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（2）为设区城市制定供水排水规划及有关法规、标准、规范修订提供水质监测依据的专项水质报告；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（3）城市（设区城市）供水排水监测发展规划；</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（4）大型供排水设施的化验、检验中心的建设和验收；</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（5）完成申报国家或省级监测中心申报或建设；</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（6）获得CMA认证的检测授权人资格。</w:t>
            </w:r>
          </w:p>
        </w:tc>
        <w:tc>
          <w:tcPr>
            <w:tcW w:w="1134" w:type="dxa"/>
            <w:tcBorders>
              <w:tl2br w:val="nil"/>
              <w:tr2bl w:val="nil"/>
            </w:tcBorders>
            <w:shd w:val="clear" w:color="auto" w:fill="auto"/>
            <w:vAlign w:val="center"/>
          </w:tcPr>
          <w:p>
            <w:pPr>
              <w:widowControl/>
              <w:spacing w:line="280" w:lineRule="exact"/>
              <w:jc w:val="center"/>
              <w:rPr>
                <w:rFonts w:asciiTheme="minorEastAsia" w:hAnsiTheme="minorEastAsia" w:cstheme="minorEastAsia"/>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287"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color w:val="00000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Theme="minorEastAsia" w:hAnsiTheme="minorEastAsia" w:cstheme="minorEastAsia"/>
                <w:color w:val="000000"/>
                <w:sz w:val="20"/>
                <w:szCs w:val="20"/>
              </w:rPr>
            </w:pPr>
          </w:p>
        </w:tc>
        <w:tc>
          <w:tcPr>
            <w:tcW w:w="850" w:type="dxa"/>
            <w:tcBorders>
              <w:tl2br w:val="nil"/>
              <w:tr2bl w:val="nil"/>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（1）为县级城市制定供水排水规划及有关法规、标准、规范修订提供水质监测依据的专项水质报告；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（2）县级城市供水排水监测发展规划；</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（3）相关主管部门举办的能力考核、能力验证，每获得1项检测指标合格；</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（4）中型以上自来水厂（含水源）或污水处理厂水质监测和水质分析报告；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（5）获得CMA认证的小型自来水厂（含水源）或污水处理厂水质监测和水质分析报告；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（6）政府要求的城市供排水、城市水体年度水质监测报告或中型规模项目的水质分析专项报告；</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（7）中型供排水设施的化验、检验中心的建设和验收；</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（8）完成累计处理规模大于10万m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/d的化验或检测中心的质量管理文件编制；</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（9）为城市自来水厂和污水厂建设提供水质监测依据。</w:t>
            </w:r>
          </w:p>
        </w:tc>
        <w:tc>
          <w:tcPr>
            <w:tcW w:w="1134" w:type="dxa"/>
            <w:tcBorders>
              <w:tl2br w:val="nil"/>
              <w:tr2bl w:val="nil"/>
            </w:tcBorders>
            <w:shd w:val="clear" w:color="auto" w:fill="auto"/>
            <w:vAlign w:val="center"/>
          </w:tcPr>
          <w:p>
            <w:pPr>
              <w:widowControl/>
              <w:spacing w:line="280" w:lineRule="exact"/>
              <w:jc w:val="center"/>
              <w:rPr>
                <w:rFonts w:asciiTheme="minorEastAsia" w:hAnsiTheme="minorEastAsia" w:cstheme="minorEastAsia"/>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798" w:hRule="atLeast"/>
          <w:jc w:val="center"/>
        </w:trPr>
        <w:tc>
          <w:tcPr>
            <w:tcW w:w="567" w:type="dxa"/>
            <w:vMerge w:val="continue"/>
            <w:tcBorders>
              <w:tl2br w:val="nil"/>
              <w:tr2bl w:val="nil"/>
            </w:tcBorders>
            <w:shd w:val="clear" w:color="auto" w:fill="auto"/>
            <w:vAlign w:val="center"/>
          </w:tcPr>
          <w:p>
            <w:pPr>
              <w:widowControl/>
              <w:spacing w:line="220" w:lineRule="exact"/>
              <w:jc w:val="center"/>
              <w:rPr>
                <w:rFonts w:asciiTheme="minorEastAsia" w:hAnsiTheme="minorEastAsia" w:cstheme="minorEastAsia"/>
                <w:color w:val="00000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Theme="minorEastAsia" w:hAnsiTheme="minorEastAsia" w:cstheme="minorEastAsia"/>
                <w:color w:val="000000"/>
                <w:sz w:val="20"/>
                <w:szCs w:val="20"/>
              </w:rPr>
            </w:pPr>
          </w:p>
        </w:tc>
        <w:tc>
          <w:tcPr>
            <w:tcW w:w="850" w:type="dxa"/>
            <w:tcBorders>
              <w:tl2br w:val="nil"/>
              <w:tr2bl w:val="nil"/>
            </w:tcBorders>
            <w:shd w:val="clear" w:color="auto" w:fill="auto"/>
            <w:vAlign w:val="center"/>
          </w:tcPr>
          <w:p>
            <w:pPr>
              <w:widowControl/>
              <w:spacing w:line="280" w:lineRule="exact"/>
              <w:jc w:val="center"/>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80" w:lineRule="exact"/>
              <w:textAlignment w:val="center"/>
              <w:rPr>
                <w:rFonts w:asciiTheme="minorEastAsia" w:hAnsiTheme="minorEastAsia" w:cstheme="minorEastAsia"/>
                <w:color w:val="00000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（1）每两类水质指标检测；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（2）小型供排水设施的化验、检验中心的建设和验收。</w:t>
            </w:r>
          </w:p>
        </w:tc>
        <w:tc>
          <w:tcPr>
            <w:tcW w:w="1134" w:type="dxa"/>
            <w:tcBorders>
              <w:tl2br w:val="nil"/>
              <w:tr2bl w:val="nil"/>
            </w:tcBorders>
            <w:shd w:val="clear" w:color="auto" w:fill="auto"/>
            <w:vAlign w:val="center"/>
          </w:tcPr>
          <w:p>
            <w:pPr>
              <w:widowControl/>
              <w:spacing w:line="280" w:lineRule="exact"/>
              <w:jc w:val="center"/>
              <w:rPr>
                <w:rFonts w:asciiTheme="minorEastAsia" w:hAnsiTheme="minorEastAsia" w:cstheme="minorEastAsia"/>
                <w:color w:val="000000"/>
                <w:sz w:val="20"/>
                <w:szCs w:val="20"/>
              </w:rPr>
            </w:pPr>
          </w:p>
        </w:tc>
      </w:tr>
    </w:tbl>
    <w:p>
      <w:pPr>
        <w:spacing w:line="2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十三、建筑电气专业</w:t>
      </w:r>
    </w:p>
    <w:tbl>
      <w:tblPr>
        <w:tblStyle w:val="5"/>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850"/>
        <w:gridCol w:w="850"/>
        <w:gridCol w:w="680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exac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规模</w:t>
            </w:r>
          </w:p>
        </w:tc>
        <w:tc>
          <w:tcPr>
            <w:tcW w:w="68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参考标准</w:t>
            </w:r>
          </w:p>
        </w:tc>
        <w:tc>
          <w:tcPr>
            <w:tcW w:w="1134"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30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机电安装</w:t>
            </w: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单项工程合同额2000万元以上的机电安装工程。</w:t>
            </w:r>
          </w:p>
        </w:tc>
        <w:tc>
          <w:tcPr>
            <w:tcW w:w="1134" w:type="dxa"/>
            <w:vMerge w:val="restart"/>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单项工程合同额500万元以上、2000万元以下的机电安装工程。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单项工程合同额500万元以下的机电安装工程。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2</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消防</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单体建筑面积2万m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以上的消防设施工程。</w:t>
            </w:r>
          </w:p>
        </w:tc>
        <w:tc>
          <w:tcPr>
            <w:tcW w:w="1134" w:type="dxa"/>
            <w:vMerge w:val="restart"/>
            <w:tcBorders>
              <w:tl2br w:val="nil"/>
              <w:tr2bl w:val="nil"/>
            </w:tcBorders>
            <w:shd w:val="clear" w:color="auto" w:fill="auto"/>
            <w:vAlign w:val="center"/>
          </w:tcPr>
          <w:p>
            <w:pPr>
              <w:widowControl/>
              <w:spacing w:line="21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消防工程均含火灾自动报警</w:t>
            </w:r>
            <w:r>
              <w:rPr>
                <w:rFonts w:hint="eastAsia" w:asciiTheme="minorEastAsia" w:hAnsiTheme="minorEastAsia" w:cstheme="minorEastAsia"/>
                <w:color w:val="000000"/>
                <w:spacing w:val="-20"/>
                <w:kern w:val="0"/>
                <w:sz w:val="20"/>
                <w:szCs w:val="20"/>
              </w:rPr>
              <w:t>系统、自</w:t>
            </w:r>
            <w:r>
              <w:rPr>
                <w:rFonts w:hint="eastAsia" w:asciiTheme="minorEastAsia" w:hAnsiTheme="minorEastAsia" w:cstheme="minorEastAsia"/>
                <w:color w:val="000000"/>
                <w:kern w:val="0"/>
                <w:sz w:val="20"/>
                <w:szCs w:val="20"/>
              </w:rPr>
              <w:t>动灭火系统和防烟排烟系统。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4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单体建筑面积1万m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以上、2万m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以下消防设施工程。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5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单体建筑面积1万m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以下的消防设施工程。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3</w:t>
            </w:r>
          </w:p>
        </w:tc>
        <w:tc>
          <w:tcPr>
            <w:tcW w:w="850" w:type="dxa"/>
            <w:vMerge w:val="restart"/>
            <w:tcBorders>
              <w:tl2br w:val="nil"/>
              <w:tr2bl w:val="nil"/>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建筑智能化</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单项工程合同额1000万元以上的电子与建筑智能化工程。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单项工程合同额200万元以上、1000万元以下的电子与建筑智能化工程。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单项工程合同额200万元以下的电子与建筑智能化工程。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4</w:t>
            </w:r>
          </w:p>
        </w:tc>
        <w:tc>
          <w:tcPr>
            <w:tcW w:w="850" w:type="dxa"/>
            <w:vMerge w:val="restart"/>
            <w:tcBorders>
              <w:tl2br w:val="nil"/>
              <w:tr2bl w:val="nil"/>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电子工程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spacing w:val="-6"/>
                <w:kern w:val="0"/>
                <w:sz w:val="20"/>
                <w:szCs w:val="20"/>
              </w:rPr>
              <w:t>单项工程合同额1000万元以上的电子工程。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单项工程合同额200万元以上、1000万元以下的电子工程。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2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单项工程合同额200万元以下的电子工程。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5</w:t>
            </w:r>
          </w:p>
        </w:tc>
        <w:tc>
          <w:tcPr>
            <w:tcW w:w="850" w:type="dxa"/>
            <w:vMerge w:val="restart"/>
            <w:tcBorders>
              <w:tl2br w:val="nil"/>
              <w:tr2bl w:val="nil"/>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变配电站工程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spacing w:val="-9"/>
                <w:kern w:val="0"/>
                <w:sz w:val="20"/>
                <w:szCs w:val="20"/>
              </w:rPr>
              <w:t>（1）电压35kV以上的变配电站（所）工程；</w:t>
            </w:r>
            <w:r>
              <w:rPr>
                <w:rFonts w:hint="eastAsia" w:asciiTheme="minorEastAsia" w:hAnsiTheme="minorEastAsia" w:cstheme="minorEastAsia"/>
                <w:color w:val="000000"/>
                <w:spacing w:val="-9"/>
                <w:kern w:val="0"/>
                <w:sz w:val="20"/>
                <w:szCs w:val="20"/>
              </w:rPr>
              <w:br w:type="textWrapping"/>
            </w:r>
            <w:r>
              <w:rPr>
                <w:rFonts w:hint="eastAsia" w:asciiTheme="minorEastAsia" w:hAnsiTheme="minorEastAsia" w:cstheme="minorEastAsia"/>
                <w:color w:val="000000"/>
                <w:spacing w:val="-9"/>
                <w:kern w:val="0"/>
                <w:sz w:val="20"/>
                <w:szCs w:val="20"/>
              </w:rPr>
              <w:t>（2）</w:t>
            </w:r>
            <w:r>
              <w:rPr>
                <w:rFonts w:hint="eastAsia" w:asciiTheme="minorEastAsia" w:hAnsiTheme="minorEastAsia" w:cstheme="minorEastAsia"/>
                <w:color w:val="000000"/>
                <w:kern w:val="0"/>
                <w:sz w:val="20"/>
                <w:szCs w:val="20"/>
              </w:rPr>
              <w:t>电压20kV以下，且变压器安装容量5000kVA以上的变配电站（所）工程；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spacing w:val="-9"/>
                <w:kern w:val="0"/>
                <w:sz w:val="20"/>
                <w:szCs w:val="20"/>
              </w:rPr>
              <w:t>（3）</w:t>
            </w:r>
            <w:r>
              <w:rPr>
                <w:rFonts w:hint="eastAsia" w:asciiTheme="minorEastAsia" w:hAnsiTheme="minorEastAsia" w:cstheme="minorEastAsia"/>
                <w:color w:val="000000"/>
                <w:kern w:val="0"/>
                <w:sz w:val="20"/>
                <w:szCs w:val="20"/>
              </w:rPr>
              <w:t>电压10kV，且变压器安装容量5000kVA以上的变配电站（所）工程。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spacing w:val="-9"/>
                <w:kern w:val="0"/>
                <w:sz w:val="20"/>
                <w:szCs w:val="20"/>
              </w:rPr>
              <w:t>（1</w:t>
            </w:r>
            <w:r>
              <w:rPr>
                <w:rFonts w:hint="eastAsia" w:asciiTheme="minorEastAsia" w:hAnsiTheme="minorEastAsia" w:cstheme="minorEastAsia"/>
                <w:color w:val="000000"/>
                <w:spacing w:val="-28"/>
                <w:kern w:val="0"/>
                <w:sz w:val="20"/>
                <w:szCs w:val="20"/>
              </w:rPr>
              <w:t>）</w:t>
            </w:r>
            <w:r>
              <w:rPr>
                <w:rFonts w:hint="eastAsia" w:asciiTheme="minorEastAsia" w:hAnsiTheme="minorEastAsia" w:cstheme="minorEastAsia"/>
                <w:color w:val="000000"/>
                <w:spacing w:val="-9"/>
                <w:kern w:val="0"/>
                <w:sz w:val="20"/>
                <w:szCs w:val="20"/>
              </w:rPr>
              <w:t>电压20kV，且变压器安装容量1600kVA</w:t>
            </w:r>
            <w:r>
              <w:rPr>
                <w:rFonts w:hint="eastAsia" w:asciiTheme="minorEastAsia" w:hAnsiTheme="minorEastAsia" w:cstheme="minorEastAsia"/>
                <w:color w:val="000000"/>
                <w:kern w:val="0"/>
                <w:sz w:val="20"/>
                <w:szCs w:val="20"/>
              </w:rPr>
              <w:t>～</w:t>
            </w:r>
            <w:r>
              <w:rPr>
                <w:rFonts w:hint="eastAsia" w:asciiTheme="minorEastAsia" w:hAnsiTheme="minorEastAsia" w:cstheme="minorEastAsia"/>
                <w:color w:val="000000"/>
                <w:spacing w:val="-9"/>
                <w:kern w:val="0"/>
                <w:sz w:val="20"/>
                <w:szCs w:val="20"/>
              </w:rPr>
              <w:t>5000kVA的变配电站（所）工程；</w:t>
            </w:r>
            <w:r>
              <w:rPr>
                <w:rFonts w:hint="eastAsia" w:asciiTheme="minorEastAsia" w:hAnsiTheme="minorEastAsia" w:cstheme="minorEastAsia"/>
                <w:color w:val="000000"/>
                <w:spacing w:val="-9"/>
                <w:kern w:val="0"/>
                <w:sz w:val="20"/>
                <w:szCs w:val="20"/>
              </w:rPr>
              <w:br w:type="textWrapping"/>
            </w:r>
            <w:r>
              <w:rPr>
                <w:rFonts w:hint="eastAsia" w:asciiTheme="minorEastAsia" w:hAnsiTheme="minorEastAsia" w:cstheme="minorEastAsia"/>
                <w:color w:val="000000"/>
                <w:spacing w:val="-9"/>
                <w:kern w:val="0"/>
                <w:sz w:val="20"/>
                <w:szCs w:val="20"/>
              </w:rPr>
              <w:t>（2</w:t>
            </w:r>
            <w:r>
              <w:rPr>
                <w:rFonts w:hint="eastAsia" w:asciiTheme="minorEastAsia" w:hAnsiTheme="minorEastAsia" w:cstheme="minorEastAsia"/>
                <w:color w:val="000000"/>
                <w:spacing w:val="-28"/>
                <w:kern w:val="0"/>
                <w:sz w:val="20"/>
                <w:szCs w:val="20"/>
              </w:rPr>
              <w:t>）</w:t>
            </w:r>
            <w:r>
              <w:rPr>
                <w:rFonts w:hint="eastAsia" w:asciiTheme="minorEastAsia" w:hAnsiTheme="minorEastAsia" w:cstheme="minorEastAsia"/>
                <w:color w:val="000000"/>
                <w:spacing w:val="-9"/>
                <w:kern w:val="0"/>
                <w:sz w:val="20"/>
                <w:szCs w:val="20"/>
              </w:rPr>
              <w:t>电压10kV，且变压器安装容量1600kVA</w:t>
            </w:r>
            <w:r>
              <w:rPr>
                <w:rFonts w:hint="eastAsia" w:asciiTheme="minorEastAsia" w:hAnsiTheme="minorEastAsia" w:cstheme="minorEastAsia"/>
                <w:color w:val="000000"/>
                <w:kern w:val="0"/>
                <w:sz w:val="20"/>
                <w:szCs w:val="20"/>
              </w:rPr>
              <w:t>～</w:t>
            </w:r>
            <w:r>
              <w:rPr>
                <w:rFonts w:hint="eastAsia" w:asciiTheme="minorEastAsia" w:hAnsiTheme="minorEastAsia" w:cstheme="minorEastAsia"/>
                <w:color w:val="000000"/>
                <w:spacing w:val="-9"/>
                <w:kern w:val="0"/>
                <w:sz w:val="20"/>
                <w:szCs w:val="20"/>
              </w:rPr>
              <w:t>5000kVA的变配电站（所）工程。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36"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spacing w:val="-9"/>
                <w:kern w:val="0"/>
                <w:sz w:val="20"/>
                <w:szCs w:val="20"/>
              </w:rPr>
              <w:t>（1</w:t>
            </w:r>
            <w:r>
              <w:rPr>
                <w:rFonts w:hint="eastAsia" w:asciiTheme="minorEastAsia" w:hAnsiTheme="minorEastAsia" w:cstheme="minorEastAsia"/>
                <w:color w:val="000000"/>
                <w:spacing w:val="-28"/>
                <w:kern w:val="0"/>
                <w:sz w:val="20"/>
                <w:szCs w:val="20"/>
              </w:rPr>
              <w:t>）</w:t>
            </w:r>
            <w:r>
              <w:rPr>
                <w:rFonts w:hint="eastAsia" w:asciiTheme="minorEastAsia" w:hAnsiTheme="minorEastAsia" w:cstheme="minorEastAsia"/>
                <w:color w:val="000000"/>
                <w:kern w:val="0"/>
                <w:sz w:val="20"/>
                <w:szCs w:val="20"/>
              </w:rPr>
              <w:t>电压20kV，且变压器安装容量1600kVA以上的变配电站（所）工程；</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spacing w:val="-9"/>
                <w:kern w:val="0"/>
                <w:sz w:val="20"/>
                <w:szCs w:val="20"/>
              </w:rPr>
              <w:t>（2）</w:t>
            </w:r>
            <w:r>
              <w:rPr>
                <w:rFonts w:hint="eastAsia" w:asciiTheme="minorEastAsia" w:hAnsiTheme="minorEastAsia" w:cstheme="minorEastAsia"/>
                <w:color w:val="000000"/>
                <w:kern w:val="0"/>
                <w:sz w:val="20"/>
                <w:szCs w:val="20"/>
              </w:rPr>
              <w:t>电压10kV，且变压器安装容量1600kVA以下的变配电站（所）工程。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6</w:t>
            </w:r>
          </w:p>
        </w:tc>
        <w:tc>
          <w:tcPr>
            <w:tcW w:w="850" w:type="dxa"/>
            <w:vMerge w:val="restart"/>
            <w:tcBorders>
              <w:tl2br w:val="nil"/>
              <w:tr2bl w:val="nil"/>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电气动力照明工程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单项工程合同额1000万元以上的电气动力照明工程。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单项工程合同额200万元以上、1000万元以下的电气动力照明工程。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6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单项工程合同额200万元以下的电气动力照明工程。</w:t>
            </w:r>
          </w:p>
        </w:tc>
        <w:tc>
          <w:tcPr>
            <w:tcW w:w="1134"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bl>
    <w:p>
      <w:pPr>
        <w:spacing w:line="160" w:lineRule="exact"/>
        <w:jc w:val="center"/>
        <w:rPr>
          <w:rFonts w:ascii="方正楷体_GBK" w:hAnsi="方正楷体_GBK" w:eastAsia="方正楷体_GBK" w:cs="方正楷体_GBK"/>
          <w:sz w:val="20"/>
          <w:szCs w:val="20"/>
        </w:rPr>
      </w:pPr>
    </w:p>
    <w:p>
      <w:pPr>
        <w:spacing w:line="2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t>注：与主体建筑配套的电气工程，其项目规模划分参照建筑工程项目规模。</w:t>
      </w:r>
    </w:p>
    <w:p>
      <w:pPr>
        <w:spacing w:line="160" w:lineRule="exact"/>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十四、建筑机械专业</w:t>
      </w:r>
    </w:p>
    <w:tbl>
      <w:tblPr>
        <w:tblStyle w:val="5"/>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850"/>
        <w:gridCol w:w="850"/>
        <w:gridCol w:w="680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98" w:hRule="exact"/>
          <w:tblHeader/>
          <w:jc w:val="center"/>
        </w:trPr>
        <w:tc>
          <w:tcPr>
            <w:tcW w:w="567"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序号</w:t>
            </w: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4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类型</w:t>
            </w: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4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规模</w:t>
            </w:r>
          </w:p>
        </w:tc>
        <w:tc>
          <w:tcPr>
            <w:tcW w:w="6803"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参考标准</w:t>
            </w:r>
          </w:p>
        </w:tc>
        <w:tc>
          <w:tcPr>
            <w:tcW w:w="1134"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940" w:hRule="atLeast"/>
          <w:tblHeader/>
          <w:jc w:val="center"/>
        </w:trPr>
        <w:tc>
          <w:tcPr>
            <w:tcW w:w="567" w:type="dxa"/>
            <w:vMerge w:val="restart"/>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起重设备安装工程</w:t>
            </w: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8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安装拆卸1600kN·m以上塔式起重机，或安装拆卸100T以上门式起重机。</w:t>
            </w:r>
          </w:p>
        </w:tc>
        <w:tc>
          <w:tcPr>
            <w:tcW w:w="1134" w:type="dxa"/>
            <w:vMerge w:val="restart"/>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186" w:hRule="atLeas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8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安装拆卸630kN·m以上1600kN·m以下塔式起重机，或安装拆卸50T以上、100T以下门式起重机。</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235" w:hRule="atLeas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8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安装拆卸630kN·m以下塔式起重机，或安装拆卸50T以下门式起重机。</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956" w:hRule="atLeast"/>
          <w:tblHeader/>
          <w:jc w:val="center"/>
        </w:trPr>
        <w:tc>
          <w:tcPr>
            <w:tcW w:w="567" w:type="dxa"/>
            <w:vMerge w:val="restart"/>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2</w:t>
            </w:r>
          </w:p>
        </w:tc>
        <w:tc>
          <w:tcPr>
            <w:tcW w:w="850" w:type="dxa"/>
            <w:vMerge w:val="restart"/>
            <w:tcBorders>
              <w:tl2br w:val="nil"/>
              <w:tr2bl w:val="nil"/>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电梯安装及维修工程</w:t>
            </w: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8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电梯运行速度2.5m/s以上，且台数4台以上。</w:t>
            </w:r>
          </w:p>
        </w:tc>
        <w:tc>
          <w:tcPr>
            <w:tcW w:w="1134" w:type="dxa"/>
            <w:vMerge w:val="restart"/>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086" w:hRule="atLeas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8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电梯运行速度大于2.5m/s以上，且台数4台以下；或电梯运行速度1m/s以上、2.5m/s以下。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095" w:hRule="atLeas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8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电梯运行速度1m/s以下。</w:t>
            </w:r>
          </w:p>
        </w:tc>
        <w:tc>
          <w:tcPr>
            <w:tcW w:w="1134" w:type="dxa"/>
            <w:vMerge w:val="continue"/>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bl>
    <w:p>
      <w:pPr>
        <w:spacing w:line="2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十五、暖通专业</w:t>
      </w:r>
    </w:p>
    <w:tbl>
      <w:tblPr>
        <w:tblStyle w:val="5"/>
        <w:tblW w:w="10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850"/>
        <w:gridCol w:w="850"/>
        <w:gridCol w:w="680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10" w:hRule="atLeast"/>
          <w:tblHeader/>
          <w:jc w:val="center"/>
        </w:trPr>
        <w:tc>
          <w:tcPr>
            <w:tcW w:w="567"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序号</w:t>
            </w: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4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类型</w:t>
            </w: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4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规模</w:t>
            </w:r>
          </w:p>
        </w:tc>
        <w:tc>
          <w:tcPr>
            <w:tcW w:w="6803"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参考标准</w:t>
            </w:r>
          </w:p>
        </w:tc>
        <w:tc>
          <w:tcPr>
            <w:tcW w:w="1134"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热力工程设计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热源厂</w:t>
            </w: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（1）热水锅炉≥3×58MW；</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（2）蒸汽锅炉≥3×75t/h；</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（3）供热面积≥500万m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w:t>
            </w:r>
          </w:p>
        </w:tc>
        <w:tc>
          <w:tcPr>
            <w:tcW w:w="1134" w:type="dxa"/>
            <w:vMerge w:val="restart"/>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highlight w:val="yellow"/>
              </w:rPr>
            </w:pPr>
            <w:r>
              <w:rPr>
                <w:rFonts w:hint="eastAsia" w:asciiTheme="minorEastAsia" w:hAnsiTheme="minorEastAsia" w:cstheme="minorEastAsia"/>
                <w:color w:val="000000"/>
                <w:kern w:val="0"/>
                <w:sz w:val="20"/>
                <w:szCs w:val="20"/>
              </w:rPr>
              <w:t>以供热、制冷为主，单台≤</w:t>
            </w:r>
            <w:r>
              <w:rPr>
                <w:rFonts w:asciiTheme="minorEastAsia" w:hAnsiTheme="minorEastAsia" w:cstheme="minorEastAsia"/>
                <w:color w:val="000000"/>
                <w:kern w:val="0"/>
                <w:sz w:val="20"/>
                <w:szCs w:val="20"/>
              </w:rPr>
              <w:t>25MW的小型热电厂也属大型项目。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76"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（1）热水锅炉3×14 ～ 3×58MW；</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（2）蒸汽锅炉3×20 ～ 3×75t/h；</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（3）供热面积150 ～ 500万m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w:t>
            </w:r>
          </w:p>
        </w:tc>
        <w:tc>
          <w:tcPr>
            <w:tcW w:w="1134" w:type="dxa"/>
            <w:vMerge w:val="continue"/>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14"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供热面积＜150m</w:t>
            </w:r>
            <w:r>
              <w:rPr>
                <w:rFonts w:hint="eastAsia" w:asciiTheme="minorEastAsia" w:hAnsiTheme="minorEastAsia" w:cstheme="minorEastAsia"/>
                <w:color w:val="000000"/>
                <w:kern w:val="0"/>
                <w:sz w:val="20"/>
                <w:szCs w:val="20"/>
                <w:vertAlign w:val="superscript"/>
              </w:rPr>
              <w:t>2</w:t>
            </w:r>
          </w:p>
        </w:tc>
        <w:tc>
          <w:tcPr>
            <w:tcW w:w="1134" w:type="dxa"/>
            <w:vMerge w:val="continue"/>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2</w:t>
            </w:r>
          </w:p>
        </w:tc>
        <w:tc>
          <w:tcPr>
            <w:tcW w:w="850" w:type="dxa"/>
            <w:vMerge w:val="restart"/>
            <w:tcBorders>
              <w:tl2br w:val="nil"/>
              <w:tr2bl w:val="nil"/>
            </w:tcBorders>
            <w:shd w:val="clear" w:color="auto" w:fill="auto"/>
            <w:vAlign w:val="center"/>
          </w:tcPr>
          <w:p>
            <w:pPr>
              <w:widowControl/>
              <w:spacing w:line="28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热力工程设计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热网系统</w:t>
            </w: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（1）城市供热一级网，DN≥800mm；</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（2）热力站；</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（3）供热面积≥500万m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w:t>
            </w:r>
          </w:p>
        </w:tc>
        <w:tc>
          <w:tcPr>
            <w:tcW w:w="1134"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（1）城市供热一级网，DN＜800mm；</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（2）供热面积150 ～ 500万m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w:t>
            </w:r>
          </w:p>
        </w:tc>
        <w:tc>
          <w:tcPr>
            <w:tcW w:w="1134" w:type="dxa"/>
            <w:vMerge w:val="continue"/>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6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8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（1）城市供热二级网，DN＜400mm；</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（2）供热面积＜150万m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w:t>
            </w:r>
          </w:p>
        </w:tc>
        <w:tc>
          <w:tcPr>
            <w:tcW w:w="1134" w:type="dxa"/>
            <w:vMerge w:val="continue"/>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36" w:hRule="atLeast"/>
          <w:tblHeader/>
          <w:jc w:val="center"/>
        </w:trPr>
        <w:tc>
          <w:tcPr>
            <w:tcW w:w="567" w:type="dxa"/>
            <w:vMerge w:val="restart"/>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3</w:t>
            </w:r>
          </w:p>
        </w:tc>
        <w:tc>
          <w:tcPr>
            <w:tcW w:w="850" w:type="dxa"/>
            <w:vMerge w:val="restart"/>
            <w:tcBorders>
              <w:tl2br w:val="nil"/>
              <w:tr2bl w:val="nil"/>
            </w:tcBorders>
            <w:shd w:val="clear" w:color="auto" w:fill="auto"/>
            <w:vAlign w:val="center"/>
          </w:tcPr>
          <w:p>
            <w:pPr>
              <w:widowControl/>
              <w:spacing w:line="27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可再生能源工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程设计</w:t>
            </w: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单项投资额≥1000万元。</w:t>
            </w:r>
          </w:p>
        </w:tc>
        <w:tc>
          <w:tcPr>
            <w:tcW w:w="1134"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30" w:hRule="atLeast"/>
          <w:tblHeader/>
          <w:jc w:val="center"/>
        </w:trPr>
        <w:tc>
          <w:tcPr>
            <w:tcW w:w="567" w:type="dxa"/>
            <w:vMerge w:val="continue"/>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单项投资额＜1000万元。</w:t>
            </w:r>
          </w:p>
        </w:tc>
        <w:tc>
          <w:tcPr>
            <w:tcW w:w="1134" w:type="dxa"/>
            <w:vMerge w:val="continue"/>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4</w:t>
            </w:r>
          </w:p>
        </w:tc>
        <w:tc>
          <w:tcPr>
            <w:tcW w:w="850" w:type="dxa"/>
            <w:vMerge w:val="restart"/>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城市供热工程施工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热源工程</w:t>
            </w:r>
          </w:p>
        </w:tc>
        <w:tc>
          <w:tcPr>
            <w:tcW w:w="850" w:type="dxa"/>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（1）产热量≥250t/h；</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（2）供热面积＞30万m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（3）单项工程合同额≥3000万元。</w:t>
            </w:r>
          </w:p>
        </w:tc>
        <w:tc>
          <w:tcPr>
            <w:tcW w:w="1134"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（1）产热量80 ～ 250t/h；</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（2）供热面积10 ～ 30万m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（3）单项工程合同额1000 ～ 3000万元。</w:t>
            </w:r>
          </w:p>
        </w:tc>
        <w:tc>
          <w:tcPr>
            <w:tcW w:w="1134"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（1）产热量＜80t/h；</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（2）供热面积＜10万m</w:t>
            </w:r>
            <w:r>
              <w:rPr>
                <w:rFonts w:hint="eastAsia" w:asciiTheme="minorEastAsia" w:hAnsiTheme="minorEastAsia" w:cstheme="minorEastAsia"/>
                <w:color w:val="000000"/>
                <w:kern w:val="0"/>
                <w:sz w:val="20"/>
                <w:szCs w:val="20"/>
                <w:vertAlign w:val="superscript"/>
              </w:rPr>
              <w:t>2</w:t>
            </w:r>
            <w:r>
              <w:rPr>
                <w:rFonts w:hint="eastAsia" w:asciiTheme="minorEastAsia" w:hAnsiTheme="minorEastAsia" w:cstheme="minorEastAsia"/>
                <w:color w:val="000000"/>
                <w:kern w:val="0"/>
                <w:sz w:val="20"/>
                <w:szCs w:val="20"/>
              </w:rPr>
              <w:t>；</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（3）单项工程合同额＜1000万元。</w:t>
            </w:r>
          </w:p>
        </w:tc>
        <w:tc>
          <w:tcPr>
            <w:tcW w:w="1134" w:type="dxa"/>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78" w:hRule="exact"/>
          <w:tblHeader/>
          <w:jc w:val="center"/>
        </w:trPr>
        <w:tc>
          <w:tcPr>
            <w:tcW w:w="567" w:type="dxa"/>
            <w:vMerge w:val="restart"/>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5</w:t>
            </w:r>
          </w:p>
        </w:tc>
        <w:tc>
          <w:tcPr>
            <w:tcW w:w="850" w:type="dxa"/>
            <w:vMerge w:val="restart"/>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城市供热工程施工管道工程</w:t>
            </w: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DN≥500mm，且单项工程合同额≥3000万元。</w:t>
            </w:r>
          </w:p>
        </w:tc>
        <w:tc>
          <w:tcPr>
            <w:tcW w:w="1134"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00" w:hRule="exac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200mm≤DN＜500mm，且单项工程合同额≥1000万元。</w:t>
            </w:r>
          </w:p>
        </w:tc>
        <w:tc>
          <w:tcPr>
            <w:tcW w:w="1134"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407" w:hRule="exact"/>
          <w:tblHeader/>
          <w:jc w:val="center"/>
        </w:trPr>
        <w:tc>
          <w:tcPr>
            <w:tcW w:w="567"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4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803"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DN＜200mm。</w:t>
            </w:r>
          </w:p>
        </w:tc>
        <w:tc>
          <w:tcPr>
            <w:tcW w:w="1134" w:type="dxa"/>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p>
        </w:tc>
      </w:tr>
    </w:tbl>
    <w:p>
      <w:pPr>
        <w:spacing w:line="2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t>注：与主体建筑配套的暖通工程，其项目规模划分参照建筑工程项目规模。</w:t>
      </w:r>
    </w:p>
    <w:p>
      <w:pPr>
        <w:spacing w:line="16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十六、燃气专业</w:t>
      </w:r>
    </w:p>
    <w:tbl>
      <w:tblPr>
        <w:tblStyle w:val="5"/>
        <w:tblW w:w="100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850"/>
        <w:gridCol w:w="850"/>
        <w:gridCol w:w="6651"/>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exac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规模</w:t>
            </w:r>
          </w:p>
        </w:tc>
        <w:tc>
          <w:tcPr>
            <w:tcW w:w="6651"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参考标准</w:t>
            </w:r>
          </w:p>
        </w:tc>
        <w:tc>
          <w:tcPr>
            <w:tcW w:w="109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1</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燃气工程设计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城市燃气输配系统</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651" w:type="dxa"/>
            <w:tcBorders>
              <w:tl2br w:val="nil"/>
              <w:tr2bl w:val="nil"/>
            </w:tcBorders>
            <w:shd w:val="clear" w:color="auto" w:fill="auto"/>
            <w:vAlign w:val="center"/>
          </w:tcPr>
          <w:p>
            <w:pPr>
              <w:widowControl/>
              <w:spacing w:line="25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10000万m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/年以上（高、次高、中、低压）。</w:t>
            </w:r>
          </w:p>
        </w:tc>
        <w:tc>
          <w:tcPr>
            <w:tcW w:w="1090" w:type="dxa"/>
            <w:vMerge w:val="restart"/>
            <w:tcBorders>
              <w:tl2br w:val="nil"/>
              <w:tr2bl w:val="nil"/>
            </w:tcBorders>
            <w:shd w:val="clear" w:color="auto" w:fill="auto"/>
            <w:vAlign w:val="center"/>
          </w:tcPr>
          <w:p>
            <w:pPr>
              <w:widowControl/>
              <w:spacing w:line="25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门站、储备站、调压站、各级压力管网系统的整体项目均属大型项目。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651" w:type="dxa"/>
            <w:tcBorders>
              <w:tl2br w:val="nil"/>
              <w:tr2bl w:val="nil"/>
            </w:tcBorders>
            <w:shd w:val="clear" w:color="auto" w:fill="auto"/>
            <w:vAlign w:val="center"/>
          </w:tcPr>
          <w:p>
            <w:pPr>
              <w:widowControl/>
              <w:spacing w:line="25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10000万m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/年以下（次高、中、低压）。</w:t>
            </w:r>
          </w:p>
        </w:tc>
        <w:tc>
          <w:tcPr>
            <w:tcW w:w="1090" w:type="dxa"/>
            <w:vMerge w:val="continue"/>
            <w:tcBorders>
              <w:tl2br w:val="nil"/>
              <w:tr2bl w:val="nil"/>
            </w:tcBorders>
            <w:shd w:val="clear" w:color="auto" w:fill="auto"/>
            <w:vAlign w:val="center"/>
          </w:tcPr>
          <w:p>
            <w:pPr>
              <w:widowControl/>
              <w:spacing w:line="25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651" w:type="dxa"/>
            <w:tcBorders>
              <w:tl2br w:val="nil"/>
              <w:tr2bl w:val="nil"/>
            </w:tcBorders>
            <w:shd w:val="clear" w:color="auto" w:fill="auto"/>
            <w:vAlign w:val="center"/>
          </w:tcPr>
          <w:p>
            <w:pPr>
              <w:widowControl/>
              <w:spacing w:line="25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小区管网及户内管（中、低压）。</w:t>
            </w:r>
          </w:p>
        </w:tc>
        <w:tc>
          <w:tcPr>
            <w:tcW w:w="1090" w:type="dxa"/>
            <w:vMerge w:val="continue"/>
            <w:tcBorders>
              <w:tl2br w:val="nil"/>
              <w:tr2bl w:val="nil"/>
            </w:tcBorders>
            <w:shd w:val="clear" w:color="auto" w:fill="auto"/>
            <w:vAlign w:val="center"/>
          </w:tcPr>
          <w:p>
            <w:pPr>
              <w:widowControl/>
              <w:spacing w:line="250" w:lineRule="exact"/>
              <w:jc w:val="center"/>
              <w:textAlignment w:val="center"/>
              <w:rPr>
                <w:rFonts w:asciiTheme="minorEastAsia" w:hAnsiTheme="minorEastAsia" w:cstheme="minorEastAsia"/>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2</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燃气工程设计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人工气源厂</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651" w:type="dxa"/>
            <w:tcBorders>
              <w:tl2br w:val="nil"/>
              <w:tr2bl w:val="nil"/>
            </w:tcBorders>
            <w:shd w:val="clear" w:color="auto" w:fill="auto"/>
            <w:vAlign w:val="center"/>
          </w:tcPr>
          <w:p>
            <w:pPr>
              <w:widowControl/>
              <w:spacing w:line="25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30万m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w:t>
            </w:r>
          </w:p>
        </w:tc>
        <w:tc>
          <w:tcPr>
            <w:tcW w:w="1090" w:type="dxa"/>
            <w:vMerge w:val="restart"/>
            <w:tcBorders>
              <w:tl2br w:val="nil"/>
              <w:tr2bl w:val="nil"/>
            </w:tcBorders>
            <w:shd w:val="clear" w:color="auto" w:fill="auto"/>
            <w:vAlign w:val="center"/>
          </w:tcPr>
          <w:p>
            <w:pPr>
              <w:widowControl/>
              <w:spacing w:line="25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含燃气汽车加气站。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651" w:type="dxa"/>
            <w:tcBorders>
              <w:tl2br w:val="nil"/>
              <w:tr2bl w:val="nil"/>
            </w:tcBorders>
            <w:shd w:val="clear" w:color="auto" w:fill="auto"/>
            <w:vAlign w:val="center"/>
          </w:tcPr>
          <w:p>
            <w:pPr>
              <w:widowControl/>
              <w:spacing w:line="25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30万m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w:t>
            </w:r>
          </w:p>
        </w:tc>
        <w:tc>
          <w:tcPr>
            <w:tcW w:w="1090" w:type="dxa"/>
            <w:vMerge w:val="continue"/>
            <w:tcBorders>
              <w:tl2br w:val="nil"/>
              <w:tr2bl w:val="nil"/>
            </w:tcBorders>
            <w:shd w:val="clear" w:color="auto" w:fill="auto"/>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651" w:type="dxa"/>
            <w:tcBorders>
              <w:tl2br w:val="nil"/>
              <w:tr2bl w:val="nil"/>
            </w:tcBorders>
            <w:shd w:val="clear" w:color="auto" w:fill="auto"/>
            <w:vAlign w:val="center"/>
          </w:tcPr>
          <w:p>
            <w:pPr>
              <w:widowControl/>
              <w:spacing w:line="25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w:t>
            </w:r>
          </w:p>
        </w:tc>
        <w:tc>
          <w:tcPr>
            <w:tcW w:w="1090" w:type="dxa"/>
            <w:vMerge w:val="continue"/>
            <w:tcBorders>
              <w:tl2br w:val="nil"/>
              <w:tr2bl w:val="nil"/>
            </w:tcBorders>
            <w:shd w:val="clear" w:color="auto" w:fill="auto"/>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3</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燃气工程设计</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城市液化石油气储备站</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651" w:type="dxa"/>
            <w:tcBorders>
              <w:tl2br w:val="nil"/>
              <w:tr2bl w:val="nil"/>
            </w:tcBorders>
            <w:shd w:val="clear" w:color="auto" w:fill="auto"/>
            <w:vAlign w:val="center"/>
          </w:tcPr>
          <w:p>
            <w:pPr>
              <w:widowControl/>
              <w:spacing w:line="25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罐装能力4000瓶/日以上。</w:t>
            </w:r>
          </w:p>
        </w:tc>
        <w:tc>
          <w:tcPr>
            <w:tcW w:w="1090" w:type="dxa"/>
            <w:vMerge w:val="restart"/>
            <w:tcBorders>
              <w:tl2br w:val="nil"/>
              <w:tr2bl w:val="nil"/>
            </w:tcBorders>
            <w:shd w:val="clear" w:color="auto" w:fill="auto"/>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651" w:type="dxa"/>
            <w:tcBorders>
              <w:tl2br w:val="nil"/>
              <w:tr2bl w:val="nil"/>
            </w:tcBorders>
            <w:shd w:val="clear" w:color="auto" w:fill="auto"/>
            <w:vAlign w:val="center"/>
          </w:tcPr>
          <w:p>
            <w:pPr>
              <w:widowControl/>
              <w:spacing w:line="25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罐装能力1000瓶/日以上、4000瓶/日以下。</w:t>
            </w:r>
          </w:p>
        </w:tc>
        <w:tc>
          <w:tcPr>
            <w:tcW w:w="1090" w:type="dxa"/>
            <w:vMerge w:val="continue"/>
            <w:tcBorders>
              <w:tl2br w:val="nil"/>
              <w:tr2bl w:val="nil"/>
            </w:tcBorders>
            <w:shd w:val="clear" w:color="auto" w:fill="auto"/>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651" w:type="dxa"/>
            <w:tcBorders>
              <w:tl2br w:val="nil"/>
              <w:tr2bl w:val="nil"/>
            </w:tcBorders>
            <w:shd w:val="clear" w:color="auto" w:fill="auto"/>
            <w:vAlign w:val="center"/>
          </w:tcPr>
          <w:p>
            <w:pPr>
              <w:widowControl/>
              <w:spacing w:line="25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1000瓶/日以下罐装能力。</w:t>
            </w:r>
          </w:p>
        </w:tc>
        <w:tc>
          <w:tcPr>
            <w:tcW w:w="1090" w:type="dxa"/>
            <w:vMerge w:val="continue"/>
            <w:tcBorders>
              <w:tl2br w:val="nil"/>
              <w:tr2bl w:val="nil"/>
            </w:tcBorders>
            <w:shd w:val="clear" w:color="auto" w:fill="auto"/>
          </w:tcPr>
          <w:p>
            <w:pPr>
              <w:widowControl/>
              <w:spacing w:line="25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4</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城市供气施工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燃气源工程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大型</w:t>
            </w:r>
          </w:p>
        </w:tc>
        <w:tc>
          <w:tcPr>
            <w:tcW w:w="6651"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日产气量30万m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以上，且单项工程合同额3000万元以上。</w:t>
            </w:r>
          </w:p>
        </w:tc>
        <w:tc>
          <w:tcPr>
            <w:tcW w:w="1090" w:type="dxa"/>
            <w:vMerge w:val="restart"/>
            <w:tcBorders>
              <w:tl2br w:val="nil"/>
              <w:tr2bl w:val="nil"/>
            </w:tcBorders>
            <w:shd w:val="clear" w:color="auto" w:fill="auto"/>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中型</w:t>
            </w:r>
          </w:p>
        </w:tc>
        <w:tc>
          <w:tcPr>
            <w:tcW w:w="6651"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日产气量10万m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以上、30万m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以下，且单项工程合同额1000万元以上。</w:t>
            </w:r>
          </w:p>
        </w:tc>
        <w:tc>
          <w:tcPr>
            <w:tcW w:w="1090" w:type="dxa"/>
            <w:vMerge w:val="continue"/>
            <w:tcBorders>
              <w:tl2br w:val="nil"/>
              <w:tr2bl w:val="nil"/>
            </w:tcBorders>
            <w:shd w:val="clear" w:color="auto" w:fill="auto"/>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小型</w:t>
            </w:r>
          </w:p>
        </w:tc>
        <w:tc>
          <w:tcPr>
            <w:tcW w:w="6651" w:type="dxa"/>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日产气量10万m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以下。</w:t>
            </w:r>
          </w:p>
        </w:tc>
        <w:tc>
          <w:tcPr>
            <w:tcW w:w="1090" w:type="dxa"/>
            <w:vMerge w:val="continue"/>
            <w:tcBorders>
              <w:tl2br w:val="nil"/>
              <w:tr2bl w:val="nil"/>
            </w:tcBorders>
            <w:shd w:val="clear" w:color="auto" w:fill="auto"/>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5</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城市供气施工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燃气管道工程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651" w:type="dxa"/>
            <w:tcBorders>
              <w:tl2br w:val="nil"/>
              <w:tr2bl w:val="nil"/>
            </w:tcBorders>
            <w:shd w:val="clear" w:color="auto" w:fill="auto"/>
            <w:vAlign w:val="center"/>
          </w:tcPr>
          <w:p>
            <w:pPr>
              <w:widowControl/>
              <w:spacing w:line="27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高压以上管道，且单项工程合同额3000万元以上。</w:t>
            </w:r>
          </w:p>
        </w:tc>
        <w:tc>
          <w:tcPr>
            <w:tcW w:w="1090" w:type="dxa"/>
            <w:tcBorders>
              <w:tl2br w:val="nil"/>
              <w:tr2bl w:val="nil"/>
            </w:tcBorders>
            <w:shd w:val="clear" w:color="auto" w:fill="auto"/>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651" w:type="dxa"/>
            <w:tcBorders>
              <w:tl2br w:val="nil"/>
              <w:tr2bl w:val="nil"/>
            </w:tcBorders>
            <w:shd w:val="clear" w:color="auto" w:fill="auto"/>
            <w:vAlign w:val="center"/>
          </w:tcPr>
          <w:p>
            <w:pPr>
              <w:widowControl/>
              <w:spacing w:line="27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次高压管道，且单项工程合同额1000万元以上。</w:t>
            </w:r>
          </w:p>
        </w:tc>
        <w:tc>
          <w:tcPr>
            <w:tcW w:w="1090" w:type="dxa"/>
            <w:tcBorders>
              <w:tl2br w:val="nil"/>
              <w:tr2bl w:val="nil"/>
            </w:tcBorders>
            <w:shd w:val="clear" w:color="auto" w:fill="auto"/>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651" w:type="dxa"/>
            <w:tcBorders>
              <w:tl2br w:val="nil"/>
              <w:tr2bl w:val="nil"/>
            </w:tcBorders>
            <w:shd w:val="clear" w:color="auto" w:fill="auto"/>
            <w:vAlign w:val="center"/>
          </w:tcPr>
          <w:p>
            <w:pPr>
              <w:widowControl/>
              <w:spacing w:line="27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中压以下管道。</w:t>
            </w:r>
          </w:p>
        </w:tc>
        <w:tc>
          <w:tcPr>
            <w:tcW w:w="1090" w:type="dxa"/>
            <w:tcBorders>
              <w:tl2br w:val="nil"/>
              <w:tr2bl w:val="nil"/>
            </w:tcBorders>
            <w:shd w:val="clear" w:color="auto" w:fill="auto"/>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83"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6</w:t>
            </w:r>
          </w:p>
        </w:tc>
        <w:tc>
          <w:tcPr>
            <w:tcW w:w="850"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城市供气施工</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储备</w:t>
            </w:r>
            <w:r>
              <w:rPr>
                <w:rFonts w:hint="eastAsia" w:asciiTheme="minorEastAsia" w:hAnsiTheme="minorEastAsia" w:cstheme="minorEastAsia"/>
                <w:color w:val="000000"/>
                <w:spacing w:val="-34"/>
                <w:kern w:val="0"/>
                <w:sz w:val="20"/>
                <w:szCs w:val="20"/>
              </w:rPr>
              <w:t>厂</w:t>
            </w:r>
            <w:r>
              <w:rPr>
                <w:rFonts w:hint="eastAsia" w:asciiTheme="minorEastAsia" w:hAnsiTheme="minorEastAsia" w:cstheme="minorEastAsia"/>
                <w:color w:val="000000"/>
                <w:spacing w:val="-17"/>
                <w:kern w:val="0"/>
                <w:sz w:val="20"/>
                <w:szCs w:val="20"/>
              </w:rPr>
              <w:t>(站)</w:t>
            </w:r>
            <w:r>
              <w:rPr>
                <w:rFonts w:hint="eastAsia" w:asciiTheme="minorEastAsia" w:hAnsiTheme="minorEastAsia" w:cstheme="minorEastAsia"/>
                <w:color w:val="000000"/>
                <w:spacing w:val="-20"/>
                <w:kern w:val="0"/>
                <w:sz w:val="20"/>
                <w:szCs w:val="20"/>
              </w:rPr>
              <w:t>工程</w:t>
            </w: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大型</w:t>
            </w:r>
          </w:p>
        </w:tc>
        <w:tc>
          <w:tcPr>
            <w:tcW w:w="6651" w:type="dxa"/>
            <w:tcBorders>
              <w:tl2br w:val="nil"/>
              <w:tr2bl w:val="nil"/>
            </w:tcBorders>
            <w:shd w:val="clear" w:color="auto" w:fill="auto"/>
            <w:vAlign w:val="center"/>
          </w:tcPr>
          <w:p>
            <w:pPr>
              <w:widowControl/>
              <w:spacing w:line="27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（1）设计压力2.5MPa以上的液化石油气；</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（2）总贮存容积1000m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以上的液化石油气；</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（3）400m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以上的液化天然气贮罐厂（站）；</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（4）供气规模15万m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/日以上的燃气工程，且单项工程合同额3000万元以上。</w:t>
            </w:r>
          </w:p>
        </w:tc>
        <w:tc>
          <w:tcPr>
            <w:tcW w:w="1090" w:type="dxa"/>
            <w:vMerge w:val="restart"/>
            <w:tcBorders>
              <w:tl2br w:val="nil"/>
              <w:tr2bl w:val="nil"/>
            </w:tcBorders>
            <w:shd w:val="clear" w:color="auto" w:fill="auto"/>
            <w:vAlign w:val="center"/>
          </w:tcPr>
          <w:p>
            <w:pPr>
              <w:widowControl/>
              <w:spacing w:line="26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kern w:val="0"/>
                <w:sz w:val="20"/>
                <w:szCs w:val="20"/>
              </w:rPr>
              <w:t>含调压站、混气站、气化站、压缩天然气站、汽车加气站等。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283"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中型</w:t>
            </w:r>
          </w:p>
        </w:tc>
        <w:tc>
          <w:tcPr>
            <w:tcW w:w="6651" w:type="dxa"/>
            <w:tcBorders>
              <w:tl2br w:val="nil"/>
              <w:tr2bl w:val="nil"/>
            </w:tcBorders>
            <w:shd w:val="clear" w:color="auto" w:fill="auto"/>
            <w:vAlign w:val="center"/>
          </w:tcPr>
          <w:p>
            <w:pPr>
              <w:widowControl/>
              <w:spacing w:line="27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（1）设计压力2.0MPa以上、2.5MPa以下的液化石油气；</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（2）总贮存容积500m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以上、1000m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以下的液化石油气；</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（3）200m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以上、4000m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以下的液化天然气贮罐厂（站）；</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（4）供气规模5万m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/日以上、15万m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/日以下的燃气工程且单项合同额1000万元以上工程。</w:t>
            </w:r>
          </w:p>
        </w:tc>
        <w:tc>
          <w:tcPr>
            <w:tcW w:w="1090" w:type="dxa"/>
            <w:vMerge w:val="continue"/>
            <w:tcBorders>
              <w:tl2br w:val="nil"/>
              <w:tr2bl w:val="nil"/>
            </w:tcBorders>
            <w:shd w:val="clear" w:color="auto" w:fill="auto"/>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340"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小型</w:t>
            </w:r>
          </w:p>
        </w:tc>
        <w:tc>
          <w:tcPr>
            <w:tcW w:w="6651" w:type="dxa"/>
            <w:tcBorders>
              <w:tl2br w:val="nil"/>
              <w:tr2bl w:val="nil"/>
            </w:tcBorders>
            <w:shd w:val="clear" w:color="auto" w:fill="auto"/>
            <w:vAlign w:val="center"/>
          </w:tcPr>
          <w:p>
            <w:pPr>
              <w:widowControl/>
              <w:spacing w:line="270" w:lineRule="exact"/>
              <w:textAlignment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0"/>
                <w:szCs w:val="20"/>
              </w:rPr>
              <w:t>符合下列条件之一 ：</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（1）设计压力2.0MPa以下的液化石油气；</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（2）总贮存容积500 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以下的液化石油气；</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（3）200m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以下的液化天然气贮罐厂（站）；</w:t>
            </w:r>
            <w:r>
              <w:rPr>
                <w:rFonts w:hint="eastAsia" w:asciiTheme="minorEastAsia" w:hAnsiTheme="minorEastAsia" w:cstheme="minorEastAsia"/>
                <w:color w:val="000000"/>
                <w:kern w:val="0"/>
                <w:sz w:val="20"/>
                <w:szCs w:val="20"/>
              </w:rPr>
              <w:br w:type="textWrapping"/>
            </w:r>
            <w:r>
              <w:rPr>
                <w:rFonts w:hint="eastAsia" w:asciiTheme="minorEastAsia" w:hAnsiTheme="minorEastAsia" w:cstheme="minorEastAsia"/>
                <w:color w:val="000000"/>
                <w:kern w:val="0"/>
                <w:sz w:val="20"/>
                <w:szCs w:val="20"/>
              </w:rPr>
              <w:t>（4）供气规模5万m</w:t>
            </w:r>
            <w:r>
              <w:rPr>
                <w:rFonts w:hint="eastAsia" w:asciiTheme="minorEastAsia" w:hAnsiTheme="minorEastAsia" w:cstheme="minorEastAsia"/>
                <w:color w:val="000000"/>
                <w:kern w:val="0"/>
                <w:sz w:val="20"/>
                <w:szCs w:val="20"/>
                <w:vertAlign w:val="superscript"/>
              </w:rPr>
              <w:t>3</w:t>
            </w:r>
            <w:r>
              <w:rPr>
                <w:rFonts w:hint="eastAsia" w:asciiTheme="minorEastAsia" w:hAnsiTheme="minorEastAsia" w:cstheme="minorEastAsia"/>
                <w:color w:val="000000"/>
                <w:kern w:val="0"/>
                <w:sz w:val="20"/>
                <w:szCs w:val="20"/>
              </w:rPr>
              <w:t>/日以下的燃气工程。</w:t>
            </w:r>
          </w:p>
        </w:tc>
        <w:tc>
          <w:tcPr>
            <w:tcW w:w="1090" w:type="dxa"/>
            <w:vMerge w:val="continue"/>
            <w:tcBorders>
              <w:tl2br w:val="nil"/>
              <w:tr2bl w:val="nil"/>
            </w:tcBorders>
            <w:shd w:val="clear" w:color="auto" w:fill="auto"/>
          </w:tcPr>
          <w:p>
            <w:pPr>
              <w:widowControl/>
              <w:spacing w:line="260" w:lineRule="exact"/>
              <w:jc w:val="center"/>
              <w:textAlignment w:val="center"/>
              <w:rPr>
                <w:rFonts w:ascii="方正黑体_GBK" w:hAnsi="方正黑体_GBK" w:eastAsia="方正黑体_GBK" w:cs="方正黑体_GBK"/>
                <w:color w:val="000000"/>
                <w:kern w:val="0"/>
                <w:sz w:val="20"/>
                <w:szCs w:val="20"/>
              </w:rPr>
            </w:pPr>
          </w:p>
        </w:tc>
      </w:tr>
    </w:tbl>
    <w:p>
      <w:pPr>
        <w:spacing w:line="160" w:lineRule="exact"/>
        <w:jc w:val="center"/>
        <w:rPr>
          <w:rFonts w:ascii="方正楷体_GBK" w:hAnsi="方正楷体_GBK" w:eastAsia="方正楷体_GBK" w:cs="方正楷体_GBK"/>
          <w:sz w:val="20"/>
          <w:szCs w:val="20"/>
        </w:rPr>
      </w:pPr>
    </w:p>
    <w:p>
      <w:pPr>
        <w:spacing w:line="220" w:lineRule="exact"/>
        <w:jc w:val="center"/>
        <w:rPr>
          <w:rFonts w:ascii="方正楷体_GBK" w:hAnsi="方正楷体_GBK" w:eastAsia="方正楷体_GBK" w:cs="方正楷体_GBK"/>
          <w:sz w:val="20"/>
          <w:szCs w:val="20"/>
        </w:rPr>
      </w:pPr>
      <w:r>
        <w:rPr>
          <w:rFonts w:hint="eastAsia" w:ascii="方正楷体_GBK" w:hAnsi="方正楷体_GBK" w:eastAsia="方正楷体_GBK" w:cs="方正楷体_GBK"/>
          <w:sz w:val="20"/>
          <w:szCs w:val="20"/>
        </w:rPr>
        <w:br w:type="page"/>
      </w:r>
    </w:p>
    <w:p>
      <w:pPr>
        <w:numPr>
          <w:ilvl w:val="0"/>
          <w:numId w:val="2"/>
        </w:numPr>
        <w:jc w:val="center"/>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城乡设计专业</w:t>
      </w:r>
    </w:p>
    <w:tbl>
      <w:tblPr>
        <w:tblStyle w:val="5"/>
        <w:tblW w:w="98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57" w:type="dxa"/>
          <w:bottom w:w="57" w:type="dxa"/>
          <w:right w:w="57" w:type="dxa"/>
        </w:tblCellMar>
      </w:tblPr>
      <w:tblGrid>
        <w:gridCol w:w="567"/>
        <w:gridCol w:w="850"/>
        <w:gridCol w:w="850"/>
        <w:gridCol w:w="6296"/>
        <w:gridCol w:w="1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exact"/>
          <w:tblHeader/>
          <w:jc w:val="center"/>
        </w:trPr>
        <w:tc>
          <w:tcPr>
            <w:tcW w:w="567"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序号</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类型</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方正黑体_GBK" w:hAnsi="方正黑体_GBK" w:eastAsia="方正黑体_GBK" w:cs="方正黑体_GBK"/>
                <w:color w:val="000000"/>
                <w:kern w:val="0"/>
                <w:sz w:val="20"/>
                <w:szCs w:val="20"/>
              </w:rPr>
              <w:t>项目</w:t>
            </w:r>
          </w:p>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规模</w:t>
            </w:r>
          </w:p>
        </w:tc>
        <w:tc>
          <w:tcPr>
            <w:tcW w:w="6296"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参考标准</w:t>
            </w:r>
          </w:p>
        </w:tc>
        <w:tc>
          <w:tcPr>
            <w:tcW w:w="13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themeColor="text1"/>
                <w:sz w:val="20"/>
                <w:szCs w:val="20"/>
                <w14:textFill>
                  <w14:solidFill>
                    <w14:schemeClr w14:val="tx1"/>
                  </w14:solidFill>
                </w14:textFill>
              </w:rPr>
            </w:pPr>
            <w:r>
              <w:rPr>
                <w:rFonts w:hint="eastAsia" w:ascii="方正黑体_GBK" w:hAnsi="方正黑体_GBK" w:eastAsia="方正黑体_GBK" w:cs="方正黑体_GBK"/>
                <w:color w:val="000000"/>
                <w:kern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1029"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14:textFill>
                  <w14:solidFill>
                    <w14:schemeClr w14:val="tx1"/>
                  </w14:solidFill>
                </w14:textFill>
              </w:rPr>
              <w:t>1</w:t>
            </w:r>
          </w:p>
        </w:tc>
        <w:tc>
          <w:tcPr>
            <w:tcW w:w="850" w:type="dxa"/>
            <w:vMerge w:val="restart"/>
            <w:tcBorders>
              <w:tl2br w:val="nil"/>
              <w:tr2bl w:val="nil"/>
            </w:tcBorders>
            <w:shd w:val="clear" w:color="auto" w:fill="auto"/>
            <w:vAlign w:val="center"/>
          </w:tcPr>
          <w:p>
            <w:pPr>
              <w:widowControl/>
              <w:spacing w:line="24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14:textFill>
                  <w14:solidFill>
                    <w14:schemeClr w14:val="tx1"/>
                  </w14:solidFill>
                </w14:textFill>
              </w:rPr>
              <w:t>历史文化名城名镇名村街</w:t>
            </w:r>
            <w:r>
              <w:rPr>
                <w:rFonts w:hint="eastAsia" w:asciiTheme="minorEastAsia" w:hAnsiTheme="minorEastAsia" w:cstheme="minorEastAsia"/>
                <w:color w:val="000000" w:themeColor="text1"/>
                <w:spacing w:val="-11"/>
                <w:kern w:val="0"/>
                <w:sz w:val="20"/>
                <w:szCs w:val="20"/>
                <w14:textFill>
                  <w14:solidFill>
                    <w14:schemeClr w14:val="tx1"/>
                  </w14:solidFill>
                </w14:textFill>
              </w:rPr>
              <w:t>区规</w:t>
            </w:r>
            <w:r>
              <w:rPr>
                <w:rFonts w:hint="eastAsia" w:asciiTheme="minorEastAsia" w:hAnsiTheme="minorEastAsia" w:cstheme="minorEastAsia"/>
                <w:color w:val="000000" w:themeColor="text1"/>
                <w:kern w:val="0"/>
                <w:sz w:val="20"/>
                <w:szCs w:val="20"/>
                <w14:textFill>
                  <w14:solidFill>
                    <w14:schemeClr w14:val="tx1"/>
                  </w14:solidFill>
                </w14:textFill>
              </w:rPr>
              <w:t>划、传统村落保护发展规划</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14:textFill>
                  <w14:solidFill>
                    <w14:schemeClr w14:val="tx1"/>
                  </w14:solidFill>
                </w14:textFill>
              </w:rPr>
              <w:t>大</w:t>
            </w:r>
            <w:r>
              <w:rPr>
                <w:rFonts w:hint="eastAsia" w:asciiTheme="minorEastAsia" w:hAnsiTheme="minorEastAsia" w:cstheme="minorEastAsia"/>
                <w:color w:val="000000"/>
                <w:kern w:val="0"/>
                <w:sz w:val="20"/>
                <w:szCs w:val="20"/>
              </w:rPr>
              <w:t>型</w:t>
            </w:r>
          </w:p>
        </w:tc>
        <w:tc>
          <w:tcPr>
            <w:tcW w:w="6296" w:type="dxa"/>
            <w:tcBorders>
              <w:tl2br w:val="nil"/>
              <w:tr2bl w:val="nil"/>
            </w:tcBorders>
            <w:shd w:val="clear" w:color="auto" w:fill="auto"/>
            <w:vAlign w:val="center"/>
          </w:tcPr>
          <w:p>
            <w:pPr>
              <w:widowControl/>
              <w:spacing w:line="22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14:textFill>
                  <w14:solidFill>
                    <w14:schemeClr w14:val="tx1"/>
                  </w14:solidFill>
                </w14:textFill>
              </w:rPr>
              <w:t>跨市域、设区市市域历史文化资源保护规划（包括历史文化资源、历史建筑、传统村落等）或国家级历史文化名城名镇名村街区保护规划、省级历史文化名城保护规划</w:t>
            </w:r>
          </w:p>
        </w:tc>
        <w:tc>
          <w:tcPr>
            <w:tcW w:w="13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03"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14:textFill>
                  <w14:solidFill>
                    <w14:schemeClr w14:val="tx1"/>
                  </w14:solidFill>
                </w14:textFill>
              </w:rPr>
              <w:t>中</w:t>
            </w:r>
            <w:r>
              <w:rPr>
                <w:rFonts w:hint="eastAsia" w:asciiTheme="minorEastAsia" w:hAnsiTheme="minorEastAsia" w:cstheme="minorEastAsia"/>
                <w:color w:val="000000"/>
                <w:kern w:val="0"/>
                <w:sz w:val="20"/>
                <w:szCs w:val="20"/>
              </w:rPr>
              <w:t>型</w:t>
            </w:r>
          </w:p>
        </w:tc>
        <w:tc>
          <w:tcPr>
            <w:tcW w:w="6296" w:type="dxa"/>
            <w:tcBorders>
              <w:tl2br w:val="nil"/>
              <w:tr2bl w:val="nil"/>
            </w:tcBorders>
            <w:shd w:val="clear" w:color="auto" w:fill="auto"/>
            <w:vAlign w:val="center"/>
          </w:tcPr>
          <w:p>
            <w:pPr>
              <w:widowControl/>
              <w:spacing w:line="22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14:textFill>
                  <w14:solidFill>
                    <w14:schemeClr w14:val="tx1"/>
                  </w14:solidFill>
                </w14:textFill>
              </w:rPr>
              <w:t>国家级传统村落保护规划、省级历史文化名镇名村街区规划、县域（含县级市）历史文化资源保护规划</w:t>
            </w:r>
          </w:p>
        </w:tc>
        <w:tc>
          <w:tcPr>
            <w:tcW w:w="13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819"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14:textFill>
                  <w14:solidFill>
                    <w14:schemeClr w14:val="tx1"/>
                  </w14:solidFill>
                </w14:textFill>
              </w:rPr>
              <w:t>小</w:t>
            </w:r>
            <w:r>
              <w:rPr>
                <w:rFonts w:hint="eastAsia" w:asciiTheme="minorEastAsia" w:hAnsiTheme="minorEastAsia" w:cstheme="minorEastAsia"/>
                <w:color w:val="000000"/>
                <w:kern w:val="0"/>
                <w:sz w:val="20"/>
                <w:szCs w:val="20"/>
              </w:rPr>
              <w:t>型</w:t>
            </w:r>
          </w:p>
        </w:tc>
        <w:tc>
          <w:tcPr>
            <w:tcW w:w="6296" w:type="dxa"/>
            <w:tcBorders>
              <w:tl2br w:val="nil"/>
              <w:tr2bl w:val="nil"/>
            </w:tcBorders>
            <w:shd w:val="clear" w:color="auto" w:fill="auto"/>
            <w:vAlign w:val="center"/>
          </w:tcPr>
          <w:p>
            <w:pPr>
              <w:widowControl/>
              <w:spacing w:line="22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14:textFill>
                  <w14:solidFill>
                    <w14:schemeClr w14:val="tx1"/>
                  </w14:solidFill>
                </w14:textFill>
              </w:rPr>
              <w:t>省级传统村落保护规划、历史建筑保护规划</w:t>
            </w:r>
          </w:p>
        </w:tc>
        <w:tc>
          <w:tcPr>
            <w:tcW w:w="13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restart"/>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14:textFill>
                  <w14:solidFill>
                    <w14:schemeClr w14:val="tx1"/>
                  </w14:solidFill>
                </w14:textFill>
              </w:rPr>
              <w:t>2</w:t>
            </w:r>
          </w:p>
        </w:tc>
        <w:tc>
          <w:tcPr>
            <w:tcW w:w="850" w:type="dxa"/>
            <w:vMerge w:val="restart"/>
            <w:tcBorders>
              <w:tl2br w:val="nil"/>
              <w:tr2bl w:val="nil"/>
            </w:tcBorders>
            <w:shd w:val="clear" w:color="auto" w:fill="auto"/>
            <w:vAlign w:val="center"/>
          </w:tcPr>
          <w:p>
            <w:pPr>
              <w:widowControl/>
              <w:spacing w:line="26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14:textFill>
                  <w14:solidFill>
                    <w14:schemeClr w14:val="tx1"/>
                  </w14:solidFill>
                </w14:textFill>
              </w:rPr>
              <w:t>城市设计</w:t>
            </w: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14:textFill>
                  <w14:solidFill>
                    <w14:schemeClr w14:val="tx1"/>
                  </w14:solidFill>
                </w14:textFill>
              </w:rPr>
              <w:t>大</w:t>
            </w:r>
            <w:r>
              <w:rPr>
                <w:rFonts w:hint="eastAsia" w:asciiTheme="minorEastAsia" w:hAnsiTheme="minorEastAsia" w:cstheme="minorEastAsia"/>
                <w:color w:val="000000"/>
                <w:kern w:val="0"/>
                <w:sz w:val="20"/>
                <w:szCs w:val="20"/>
              </w:rPr>
              <w:t>型</w:t>
            </w:r>
          </w:p>
        </w:tc>
        <w:tc>
          <w:tcPr>
            <w:tcW w:w="6296" w:type="dxa"/>
            <w:tcBorders>
              <w:tl2br w:val="nil"/>
              <w:tr2bl w:val="nil"/>
            </w:tcBorders>
            <w:shd w:val="clear" w:color="auto" w:fill="auto"/>
            <w:vAlign w:val="center"/>
          </w:tcPr>
          <w:p>
            <w:pPr>
              <w:widowControl/>
              <w:spacing w:line="22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14:textFill>
                  <w14:solidFill>
                    <w14:schemeClr w14:val="tx1"/>
                  </w14:solidFill>
                </w14:textFill>
              </w:rPr>
              <w:t>设区市总体城市设计、重点地段城市设计</w:t>
            </w:r>
          </w:p>
        </w:tc>
        <w:tc>
          <w:tcPr>
            <w:tcW w:w="13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14:textFill>
                  <w14:solidFill>
                    <w14:schemeClr w14:val="tx1"/>
                  </w14:solidFill>
                </w14:textFill>
              </w:rPr>
              <w:t>中</w:t>
            </w:r>
            <w:r>
              <w:rPr>
                <w:rFonts w:hint="eastAsia" w:asciiTheme="minorEastAsia" w:hAnsiTheme="minorEastAsia" w:cstheme="minorEastAsia"/>
                <w:color w:val="000000"/>
                <w:kern w:val="0"/>
                <w:sz w:val="20"/>
                <w:szCs w:val="20"/>
              </w:rPr>
              <w:t>型</w:t>
            </w:r>
          </w:p>
        </w:tc>
        <w:tc>
          <w:tcPr>
            <w:tcW w:w="6296" w:type="dxa"/>
            <w:tcBorders>
              <w:tl2br w:val="nil"/>
              <w:tr2bl w:val="nil"/>
            </w:tcBorders>
            <w:shd w:val="clear" w:color="auto" w:fill="auto"/>
            <w:vAlign w:val="center"/>
          </w:tcPr>
          <w:p>
            <w:pPr>
              <w:widowControl/>
              <w:spacing w:line="22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14:textFill>
                  <w14:solidFill>
                    <w14:schemeClr w14:val="tx1"/>
                  </w14:solidFill>
                </w14:textFill>
              </w:rPr>
              <w:t>县城（含县级市）总体城市设计、重点地区城市设计、特色小镇城市设计</w:t>
            </w:r>
          </w:p>
        </w:tc>
        <w:tc>
          <w:tcPr>
            <w:tcW w:w="13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57" w:type="dxa"/>
            <w:right w:w="57" w:type="dxa"/>
          </w:tblCellMar>
        </w:tblPrEx>
        <w:trPr>
          <w:trHeight w:val="567" w:hRule="atLeast"/>
          <w:tblHeader/>
          <w:jc w:val="center"/>
        </w:trPr>
        <w:tc>
          <w:tcPr>
            <w:tcW w:w="567"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vMerge w:val="continue"/>
            <w:tcBorders>
              <w:tl2br w:val="nil"/>
              <w:tr2bl w:val="nil"/>
            </w:tcBorders>
            <w:shd w:val="clear" w:color="auto" w:fill="auto"/>
            <w:vAlign w:val="center"/>
          </w:tcPr>
          <w:p>
            <w:pPr>
              <w:widowControl/>
              <w:spacing w:line="220" w:lineRule="exact"/>
              <w:jc w:val="center"/>
              <w:rPr>
                <w:rFonts w:ascii="方正黑体_GBK" w:hAnsi="方正黑体_GBK" w:eastAsia="方正黑体_GBK" w:cs="方正黑体_GBK"/>
                <w:color w:val="000000"/>
                <w:kern w:val="0"/>
                <w:sz w:val="20"/>
                <w:szCs w:val="20"/>
              </w:rPr>
            </w:pPr>
          </w:p>
        </w:tc>
        <w:tc>
          <w:tcPr>
            <w:tcW w:w="850"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14:textFill>
                  <w14:solidFill>
                    <w14:schemeClr w14:val="tx1"/>
                  </w14:solidFill>
                </w14:textFill>
              </w:rPr>
              <w:t>小</w:t>
            </w:r>
            <w:r>
              <w:rPr>
                <w:rFonts w:hint="eastAsia" w:asciiTheme="minorEastAsia" w:hAnsiTheme="minorEastAsia" w:cstheme="minorEastAsia"/>
                <w:color w:val="000000"/>
                <w:kern w:val="0"/>
                <w:sz w:val="20"/>
                <w:szCs w:val="20"/>
              </w:rPr>
              <w:t>型</w:t>
            </w:r>
          </w:p>
        </w:tc>
        <w:tc>
          <w:tcPr>
            <w:tcW w:w="6296" w:type="dxa"/>
            <w:tcBorders>
              <w:tl2br w:val="nil"/>
              <w:tr2bl w:val="nil"/>
            </w:tcBorders>
            <w:shd w:val="clear" w:color="auto" w:fill="auto"/>
            <w:vAlign w:val="center"/>
          </w:tcPr>
          <w:p>
            <w:pPr>
              <w:widowControl/>
              <w:spacing w:line="220" w:lineRule="exact"/>
              <w:textAlignment w:val="center"/>
              <w:rPr>
                <w:rFonts w:ascii="方正黑体_GBK" w:hAnsi="方正黑体_GBK" w:eastAsia="方正黑体_GBK" w:cs="方正黑体_GBK"/>
                <w:color w:val="000000"/>
                <w:kern w:val="0"/>
                <w:sz w:val="20"/>
                <w:szCs w:val="20"/>
              </w:rPr>
            </w:pPr>
            <w:r>
              <w:rPr>
                <w:rFonts w:hint="eastAsia" w:asciiTheme="minorEastAsia" w:hAnsiTheme="minorEastAsia" w:cstheme="minorEastAsia"/>
                <w:color w:val="000000" w:themeColor="text1"/>
                <w:kern w:val="0"/>
                <w:sz w:val="20"/>
                <w:szCs w:val="20"/>
                <w14:textFill>
                  <w14:solidFill>
                    <w14:schemeClr w14:val="tx1"/>
                  </w14:solidFill>
                </w14:textFill>
              </w:rPr>
              <w:t>一般地区城市设计</w:t>
            </w:r>
          </w:p>
        </w:tc>
        <w:tc>
          <w:tcPr>
            <w:tcW w:w="1303" w:type="dxa"/>
            <w:tcBorders>
              <w:tl2br w:val="nil"/>
              <w:tr2bl w:val="nil"/>
            </w:tcBorders>
            <w:shd w:val="clear" w:color="auto" w:fill="auto"/>
            <w:vAlign w:val="center"/>
          </w:tcPr>
          <w:p>
            <w:pPr>
              <w:widowControl/>
              <w:spacing w:line="220" w:lineRule="exact"/>
              <w:jc w:val="center"/>
              <w:textAlignment w:val="center"/>
              <w:rPr>
                <w:rFonts w:ascii="方正黑体_GBK" w:hAnsi="方正黑体_GBK" w:eastAsia="方正黑体_GBK" w:cs="方正黑体_GBK"/>
                <w:color w:val="000000"/>
                <w:kern w:val="0"/>
                <w:sz w:val="20"/>
                <w:szCs w:val="20"/>
              </w:rPr>
            </w:pPr>
          </w:p>
        </w:tc>
      </w:tr>
    </w:tbl>
    <w:p>
      <w:pPr>
        <w:spacing w:line="160" w:lineRule="exact"/>
        <w:rPr>
          <w:rFonts w:ascii="方正楷体_GBK" w:hAnsi="方正楷体_GBK" w:eastAsia="方正楷体_GBK" w:cs="方正楷体_GBK"/>
          <w:sz w:val="20"/>
          <w:szCs w:val="20"/>
        </w:rPr>
      </w:pPr>
    </w:p>
    <w:p>
      <w:pPr>
        <w:spacing w:line="160" w:lineRule="exact"/>
        <w:rPr>
          <w:rFonts w:ascii="方正楷体_GBK" w:hAnsi="方正楷体_GBK" w:eastAsia="方正楷体_GBK" w:cs="方正楷体_GBK"/>
          <w:sz w:val="20"/>
          <w:szCs w:val="20"/>
        </w:rPr>
      </w:pPr>
    </w:p>
    <w:p>
      <w:pPr>
        <w:spacing w:line="160" w:lineRule="exact"/>
        <w:rPr>
          <w:rFonts w:ascii="方正楷体_GBK" w:hAnsi="方正楷体_GBK" w:eastAsia="方正楷体_GBK" w:cs="方正楷体_GBK"/>
          <w:sz w:val="20"/>
          <w:szCs w:val="20"/>
        </w:rPr>
      </w:pPr>
    </w:p>
    <w:p>
      <w:pPr>
        <w:widowControl/>
        <w:spacing w:line="400" w:lineRule="exact"/>
        <w:ind w:left="600" w:hanging="600" w:hangingChars="250"/>
        <w:textAlignment w:val="center"/>
        <w:rPr>
          <w:rFonts w:ascii="黑体" w:hAnsi="黑体" w:eastAsia="黑体" w:cs="方正楷体_GBK"/>
          <w:sz w:val="24"/>
        </w:rPr>
      </w:pPr>
      <w:r>
        <w:rPr>
          <w:rFonts w:hint="eastAsia" w:ascii="黑体" w:hAnsi="黑体" w:eastAsia="黑体" w:cs="方正楷体_GBK"/>
          <w:sz w:val="24"/>
        </w:rPr>
        <w:t>说明：</w:t>
      </w:r>
    </w:p>
    <w:p>
      <w:pPr>
        <w:widowControl/>
        <w:spacing w:line="400" w:lineRule="exact"/>
        <w:ind w:left="602" w:hanging="602" w:hangingChars="250"/>
        <w:textAlignment w:val="center"/>
        <w:rPr>
          <w:rFonts w:ascii="宋体" w:hAnsi="宋体" w:eastAsia="宋体" w:cs="方正楷体_GBK"/>
          <w:b/>
          <w:sz w:val="24"/>
        </w:rPr>
      </w:pPr>
      <w:r>
        <w:rPr>
          <w:rFonts w:ascii="宋体" w:hAnsi="宋体" w:eastAsia="宋体" w:cs="方正楷体_GBK"/>
          <w:b/>
          <w:sz w:val="24"/>
        </w:rPr>
        <w:t>1.本标准中“XX以上”包括本数,“XX以下”不包括本数</w:t>
      </w:r>
      <w:r>
        <w:rPr>
          <w:rFonts w:hint="eastAsia" w:ascii="宋体" w:hAnsi="宋体" w:eastAsia="宋体" w:cs="方正楷体_GBK"/>
          <w:b/>
          <w:sz w:val="24"/>
        </w:rPr>
        <w:t>；</w:t>
      </w:r>
    </w:p>
    <w:p>
      <w:pPr>
        <w:widowControl/>
        <w:spacing w:line="400" w:lineRule="exact"/>
        <w:ind w:left="602" w:hanging="602" w:hangingChars="250"/>
        <w:jc w:val="left"/>
        <w:textAlignment w:val="center"/>
        <w:rPr>
          <w:rFonts w:ascii="宋体" w:hAnsi="宋体" w:eastAsia="宋体" w:cs="方正楷体_GBK"/>
          <w:b/>
          <w:sz w:val="24"/>
        </w:rPr>
      </w:pPr>
      <w:r>
        <w:rPr>
          <w:rFonts w:ascii="宋体" w:hAnsi="宋体" w:eastAsia="宋体" w:cs="方正楷体_GBK"/>
          <w:b/>
          <w:sz w:val="24"/>
        </w:rPr>
        <w:t>2.</w:t>
      </w:r>
      <w:r>
        <w:rPr>
          <w:rFonts w:hint="eastAsia" w:ascii="宋体" w:hAnsi="宋体" w:eastAsia="宋体" w:cs="方正楷体_GBK"/>
          <w:b/>
          <w:sz w:val="24"/>
        </w:rPr>
        <w:t>本标准仅供安徽省范围内申报建设工程专业技术资格界定项目业绩规模参考使用，</w:t>
      </w:r>
    </w:p>
    <w:p>
      <w:pPr>
        <w:widowControl/>
        <w:spacing w:line="400" w:lineRule="exact"/>
        <w:ind w:left="602" w:hanging="602" w:hangingChars="250"/>
        <w:jc w:val="left"/>
        <w:textAlignment w:val="center"/>
        <w:rPr>
          <w:rFonts w:ascii="宋体" w:hAnsi="宋体" w:eastAsia="宋体" w:cs="方正楷体_GBK"/>
          <w:b/>
          <w:sz w:val="24"/>
        </w:rPr>
      </w:pPr>
      <w:r>
        <w:rPr>
          <w:rFonts w:ascii="宋体" w:hAnsi="宋体" w:eastAsia="宋体" w:cs="方正楷体_GBK"/>
          <w:b/>
          <w:sz w:val="24"/>
        </w:rPr>
        <w:t>未尽事宜以《安徽省建设工程专业技术资格评审标准条件》等有关规定为准。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44" w:lineRule="atLeast"/>
        <w:ind w:right="120"/>
        <w:rPr>
          <w:rFonts w:hint="eastAsia" w:ascii="仿宋_GB2312" w:hAnsi="微软雅黑" w:eastAsia="仿宋_GB2312" w:cs="仿宋_GB2312"/>
          <w:i w:val="0"/>
          <w:iCs w:val="0"/>
          <w:caps w:val="0"/>
          <w:color w:val="3D4B64"/>
          <w:spacing w:val="0"/>
          <w:sz w:val="25"/>
          <w:szCs w:val="25"/>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44" w:lineRule="atLeast"/>
        <w:ind w:right="120"/>
        <w:rPr>
          <w:rFonts w:hint="eastAsia" w:ascii="仿宋_GB2312" w:hAnsi="微软雅黑" w:eastAsia="仿宋_GB2312" w:cs="仿宋_GB2312"/>
          <w:i w:val="0"/>
          <w:iCs w:val="0"/>
          <w:caps w:val="0"/>
          <w:color w:val="3D4B64"/>
          <w:spacing w:val="0"/>
          <w:sz w:val="25"/>
          <w:szCs w:val="25"/>
          <w:shd w:val="clear" w:fill="FFFFFF"/>
          <w:lang w:val="en-US" w:eastAsia="zh-CN"/>
        </w:rPr>
      </w:pPr>
    </w:p>
    <w:p/>
    <w:p/>
    <w:p/>
    <w:p/>
    <w:p/>
    <w:p/>
    <w:p/>
    <w:p/>
    <w:p/>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关于进一步明确建设工程职称申报有关事项的通知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333333"/>
          <w:spacing w:val="0"/>
          <w:sz w:val="21"/>
          <w:szCs w:val="21"/>
        </w:rPr>
      </w:pPr>
      <w:r>
        <w:rPr>
          <w:rFonts w:ascii="仿宋" w:hAnsi="仿宋" w:eastAsia="仿宋" w:cs="仿宋"/>
          <w:i w:val="0"/>
          <w:iCs w:val="0"/>
          <w:caps w:val="0"/>
          <w:color w:val="333333"/>
          <w:spacing w:val="0"/>
          <w:sz w:val="32"/>
          <w:szCs w:val="32"/>
          <w:bdr w:val="none" w:color="auto" w:sz="0" w:space="0"/>
          <w:shd w:val="clear" w:fill="FFFFFF"/>
        </w:rPr>
        <w:t>建人函〔</w:t>
      </w:r>
      <w:r>
        <w:rPr>
          <w:rFonts w:hint="eastAsia" w:ascii="仿宋" w:hAnsi="仿宋" w:eastAsia="仿宋" w:cs="仿宋"/>
          <w:i w:val="0"/>
          <w:iCs w:val="0"/>
          <w:caps w:val="0"/>
          <w:color w:val="333333"/>
          <w:spacing w:val="0"/>
          <w:sz w:val="32"/>
          <w:szCs w:val="32"/>
          <w:bdr w:val="none" w:color="auto" w:sz="0" w:space="0"/>
          <w:shd w:val="clear" w:fill="FFFFFF"/>
        </w:rPr>
        <w:t>2022〕504号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各市和广德市、宿松县住房和城乡建设局（城乡建设局），各行业主管部门，省直及中直驻皖有关单位，厅直各单位：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贯彻落实省委“一改两为五做到”要求，更好为广大专业技术人员提供服务和指导，进一步提升我省职称评审工作质量和水平，经省人力资源和社会保障厅同意，结合我省建设工程实际，现就职称申报有关事项进一步明确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一、切实保证申报材料的真实性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申报人及所在工作单位应在规定期限内提交申报材料，对申报材料（包括网上和纸质申报材料）的真实性负责。申报人所在工作单位要对申报人提交的申报材料认真审核、严格把关，在本单位范围内充分公示，接受群众监督，单位负责人要对申报材料真实性切实负起责任，并签署审核意见，加盖单位公章。具体公示内容应包括申报人身份、年龄、学历、职业资格、专业技术资格、业绩和考核情况等关键信息。公示时间不少于五个工作日。对公示期间群众反映的问题，应严肃对待，认真核查，调查结果不影响其申报的，方可申报。凡未按要求公示的，一律不予受理。各级审核部门要认真履行审核把关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二、适度扩大面试答辩人员范围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全面客观真实了解申报人的专业学术技术水平和实践工作能力，学习借鉴长三角有关省市的经验做法，在将申报正高级工程师职称人员以及破格申报各层级、各专业职称人员纳入面试答辩范围的基础上，申报人有下述情形之一的，需参加面试答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1.转系列、转专业申报（包括同级申报和晋升高一层级申报）人员；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2.将实用新型专利作为主要业绩申报高级工程师的人员。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面试答辩内容主要围绕基本专业知识、申报人主要业绩成果及论文著作等进行命题。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三、提高申报材料符合专业标准条件的精准性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申报人应按照本人所从事的专业申报相应职称专业，所提供的申报材料（包括学历、论文、业绩等）应符合所申报职称专业的标准条件。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从事路灯等设备安装工作的申报人，原则上按照建筑电气专业申报职称，对于2021年以前从事路灯等设备安装工作已取得相关职称专业的，可继续按原专业申报。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四、进一步明确市级以上重点工程界定依据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根据《安徽省建设工程专业技术资格评审标准条件》（建人〔2019〕87号）第二十六条规定，界定为国家、省、市重点工程应提供国务院、省政府、市政府或授权投资主管部门印发的有关重点工程审批立项文件。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五、进一步明确专利“已开发实施并取得较好的经济效益和社会效益”相关证明材料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本专业</w:t>
      </w:r>
      <w:r>
        <w:rPr>
          <w:rFonts w:hint="eastAsia" w:ascii="仿宋_GB2312" w:hAnsi="仿宋_GB2312" w:eastAsia="仿宋_GB2312" w:cs="仿宋_GB2312"/>
          <w:i w:val="0"/>
          <w:iCs w:val="0"/>
          <w:caps w:val="0"/>
          <w:color w:val="000000"/>
          <w:spacing w:val="0"/>
          <w:sz w:val="32"/>
          <w:szCs w:val="32"/>
          <w:bdr w:val="none" w:color="auto" w:sz="0" w:space="0"/>
          <w:shd w:val="clear" w:fill="FFFFFF"/>
        </w:rPr>
        <w:t>发明专利、实用新型专利“已开发实施并取得较好的经济效益和社会效益”的业绩佐证材料，除提供专利实施许可合同或转让协议外，还应提供批量生产的产品或技术实施的相关现场图片等证明材料，并可按实际情况提供专利实施单位财务部门、税务部门、专利管理部门出具的专利收入及利税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申报人的专利业绩如通过专利权转让并变更发明人取得的，在评审中不予认可。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六、简化执业注册资格证书填报程序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为方便专业技术人员进行职称申报，对于已取得相应执业注册资格证书的申报人</w:t>
      </w:r>
      <w:r>
        <w:rPr>
          <w:rFonts w:hint="eastAsia" w:ascii="仿宋_GB2312" w:hAnsi="仿宋_GB2312" w:eastAsia="仿宋_GB2312" w:cs="仿宋_GB2312"/>
          <w:i w:val="0"/>
          <w:iCs w:val="0"/>
          <w:caps w:val="0"/>
          <w:color w:val="000000"/>
          <w:spacing w:val="0"/>
          <w:sz w:val="32"/>
          <w:szCs w:val="32"/>
          <w:bdr w:val="none" w:color="auto" w:sz="0" w:space="0"/>
          <w:shd w:val="clear" w:fill="FFFFFF"/>
        </w:rPr>
        <w:t>员，系统会自动显示其已取得</w:t>
      </w:r>
      <w:r>
        <w:rPr>
          <w:rFonts w:hint="eastAsia" w:ascii="仿宋_GB2312" w:hAnsi="仿宋_GB2312" w:eastAsia="仿宋_GB2312" w:cs="仿宋_GB2312"/>
          <w:i w:val="0"/>
          <w:iCs w:val="0"/>
          <w:caps w:val="0"/>
          <w:color w:val="333333"/>
          <w:spacing w:val="0"/>
          <w:sz w:val="32"/>
          <w:szCs w:val="32"/>
          <w:bdr w:val="none" w:color="auto" w:sz="0" w:space="0"/>
          <w:shd w:val="clear" w:fill="FFFFFF"/>
        </w:rPr>
        <w:t>的执业注册资格证书，无需再次填报和提供相关证明。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关于2022年安徽省建设工程专业技术资格评审工作具体事宜，将根据省人力资源和社会保障厅的相关部署要求另行发文。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特此通知。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bdr w:val="none" w:color="auto" w:sz="0" w:space="0"/>
          <w:shd w:val="clear" w:fill="FFFFFF"/>
        </w:rPr>
        <w:t>                                2022年6月14日</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B323C"/>
    <w:multiLevelType w:val="singleLevel"/>
    <w:tmpl w:val="3DDB323C"/>
    <w:lvl w:ilvl="0" w:tentative="0">
      <w:start w:val="5"/>
      <w:numFmt w:val="decimal"/>
      <w:suff w:val="nothing"/>
      <w:lvlText w:val="（%1）"/>
      <w:lvlJc w:val="left"/>
    </w:lvl>
  </w:abstractNum>
  <w:abstractNum w:abstractNumId="1">
    <w:nsid w:val="7588AD4B"/>
    <w:multiLevelType w:val="singleLevel"/>
    <w:tmpl w:val="7588AD4B"/>
    <w:lvl w:ilvl="0" w:tentative="0">
      <w:start w:val="1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MDExNzZkNjc1MTQ5ZDJiNDM5Y2FlODM5ODdkM2QifQ=="/>
  </w:docVars>
  <w:rsids>
    <w:rsidRoot w:val="3EBA1664"/>
    <w:rsid w:val="0B69183C"/>
    <w:rsid w:val="3EBA1664"/>
    <w:rsid w:val="72C5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51"/>
    <w:basedOn w:val="6"/>
    <w:qFormat/>
    <w:uiPriority w:val="0"/>
    <w:rPr>
      <w:rFonts w:hint="eastAsia" w:ascii="宋体" w:hAnsi="宋体" w:eastAsia="宋体" w:cs="宋体"/>
      <w:color w:val="000000"/>
      <w:sz w:val="20"/>
      <w:szCs w:val="20"/>
      <w:u w:val="none"/>
    </w:rPr>
  </w:style>
  <w:style w:type="character" w:customStyle="1" w:styleId="8">
    <w:name w:val="font111"/>
    <w:basedOn w:val="6"/>
    <w:qFormat/>
    <w:uiPriority w:val="0"/>
    <w:rPr>
      <w:rFonts w:hint="eastAsia" w:ascii="宋体" w:hAnsi="宋体" w:eastAsia="宋体" w:cs="宋体"/>
      <w:color w:val="000000"/>
      <w:sz w:val="20"/>
      <w:szCs w:val="20"/>
      <w:u w:val="none"/>
      <w:vertAlign w:val="superscript"/>
    </w:rPr>
  </w:style>
  <w:style w:type="character" w:customStyle="1" w:styleId="9">
    <w:name w:val="font131"/>
    <w:basedOn w:val="6"/>
    <w:qFormat/>
    <w:uiPriority w:val="0"/>
    <w:rPr>
      <w:rFonts w:hint="eastAsia" w:ascii="宋体" w:hAnsi="宋体" w:eastAsia="宋体" w:cs="宋体"/>
      <w:color w:val="000000"/>
      <w:sz w:val="20"/>
      <w:szCs w:val="20"/>
      <w:u w:val="none"/>
    </w:rPr>
  </w:style>
  <w:style w:type="character" w:customStyle="1" w:styleId="10">
    <w:name w:val="font141"/>
    <w:basedOn w:val="6"/>
    <w:qFormat/>
    <w:uiPriority w:val="0"/>
    <w:rPr>
      <w:rFonts w:hint="eastAsia" w:ascii="宋体" w:hAnsi="宋体" w:eastAsia="宋体" w:cs="宋体"/>
      <w:color w:val="000000"/>
      <w:sz w:val="20"/>
      <w:szCs w:val="20"/>
      <w:u w:val="none"/>
      <w:vertAlign w:val="superscript"/>
    </w:rPr>
  </w:style>
  <w:style w:type="character" w:customStyle="1" w:styleId="11">
    <w:name w:val="font151"/>
    <w:basedOn w:val="6"/>
    <w:qFormat/>
    <w:uiPriority w:val="0"/>
    <w:rPr>
      <w:rFonts w:hint="eastAsia" w:ascii="宋体" w:hAnsi="宋体" w:eastAsia="宋体" w:cs="宋体"/>
      <w:color w:val="000000"/>
      <w:sz w:val="22"/>
      <w:szCs w:val="22"/>
      <w:u w:val="none"/>
      <w:vertAlign w:val="superscript"/>
    </w:rPr>
  </w:style>
  <w:style w:type="character" w:customStyle="1" w:styleId="12">
    <w:name w:val="font41"/>
    <w:basedOn w:val="6"/>
    <w:qFormat/>
    <w:uiPriority w:val="0"/>
    <w:rPr>
      <w:rFonts w:hint="eastAsia" w:ascii="宋体" w:hAnsi="宋体" w:eastAsia="宋体" w:cs="宋体"/>
      <w:color w:val="000000"/>
      <w:sz w:val="24"/>
      <w:szCs w:val="24"/>
      <w:u w:val="none"/>
    </w:rPr>
  </w:style>
  <w:style w:type="character" w:customStyle="1" w:styleId="13">
    <w:name w:val="font11"/>
    <w:basedOn w:val="6"/>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2021-06-08T06:47:00Z</dcterms:created>
  <dc:creator>雨梦</dc:creator>
  <cp:lastModifiedBy>市住建局收文员</cp:lastModifiedBy>
  <dcterms:modified xsi:type="dcterms:W3CDTF">2024-08-30T03:05:18Z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7AE25CCD6D63429C9ACDF7C51B7D7EF9</vt:lpwstr>
  </property>
</Properties>
</file>